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南通市通州区第二人民医院摆药机及数字化医用X射线摄影系统采购项目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JSZC-320612-JSHY-G2025-0434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5"/>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5"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33625" cy="17907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16444" name=""/>
                              <pic:cNvPicPr>
                                <a:picLocks noChangeAspect="1"/>
                              </pic:cNvPicPr>
                              <pic:nvPr/>
                            </pic:nvPicPr>
                            <pic:blipFill>
                              <a:blip/>
                              <a:stretch/>
                            </pic:blipFill>
                            <pic:spPr bwMode="auto">
                              <a:xfrm>
                                <a:off x="0" y="0"/>
                                <a:ext cx="2333624"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8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4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z w:val="32"/>
          <w:u w:val="single"/>
        </w:rPr>
        <w:t xml:space="preserve">南通市通州区第二人民医院</w:t>
      </w:r>
      <w:r/>
    </w:p>
    <w:p>
      <w:pPr>
        <w:ind w:left="0" w:right="0" w:firstLine="143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江苏弘业国际技术工程有限公司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二〇二五年十一月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招标文件备案表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0"/>
      </w:tblGrid>
      <w:tr>
        <w:trPr>
          <w:trHeight w:val="5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期：2025年   月    日</w:t>
            </w:r>
            <w:r/>
          </w:p>
        </w:tc>
      </w:tr>
      <w:tr>
        <w:trPr>
          <w:trHeight w:val="6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期：2025年   月    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受[南通市通州区第二人民医院]的委托，江苏弘业国际技术工程有限公司就[南通市通州区第二人民医院摆药机及数字化医用X射线摄影系统采购项目]进行公开招标采购，欢迎符合条件的供应商投标。</w:t>
      </w:r>
      <w:r/>
    </w:p>
    <w:p>
      <w:pPr>
        <w:ind w:left="0" w:right="0" w:firstLine="48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南通市通州区第二人民医院摆药机及数字化医用X射线摄影系统采购项目</w:t>
      </w:r>
      <w:r>
        <w:rPr>
          <w:rFonts w:ascii="SimSun" w:hAnsi="SimSun" w:eastAsia="SimSun" w:cs="SimSun"/>
          <w:color w:val="000000"/>
          <w:sz w:val="24"/>
        </w:rPr>
        <w:t xml:space="preserve">招标项目的潜在供应商可在“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”自行免费下载招标文件，并于</w:t>
      </w:r>
      <w:r>
        <w:rPr>
          <w:rFonts w:ascii="SimSun" w:hAnsi="SimSun" w:eastAsia="SimSun" w:cs="SimSun"/>
          <w:color w:val="000000"/>
          <w:sz w:val="24"/>
          <w:u w:val="single"/>
        </w:rPr>
        <w:t xml:space="preserve">2025年 12月 15日14点00分</w:t>
      </w:r>
      <w:r>
        <w:rPr>
          <w:rFonts w:ascii="SimSun" w:hAnsi="SimSun" w:eastAsia="SimSun" w:cs="SimSun"/>
          <w:color w:val="000000"/>
          <w:sz w:val="24"/>
        </w:rPr>
        <w:t xml:space="preserve">（北京时间）前递交投标文件。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1.项目编号：JSZC-320612-JSHY-G2025-0434</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2.项目名称：南通市通州区第二人民医院摆药机及数字化医用X射线摄影系统采购项目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3.预算金额：第一包预算金额为</w:t>
      </w:r>
      <w:r>
        <w:rPr>
          <w:rFonts w:ascii="SimSun" w:hAnsi="SimSun" w:eastAsia="SimSun" w:cs="SimSun"/>
          <w:b/>
          <w:color w:val="000000"/>
          <w:sz w:val="24"/>
        </w:rPr>
        <w:t xml:space="preserve">105</w:t>
      </w:r>
      <w:r>
        <w:rPr>
          <w:rFonts w:ascii="SimSun" w:hAnsi="SimSun" w:eastAsia="SimSun" w:cs="SimSun"/>
          <w:color w:val="000000"/>
          <w:sz w:val="24"/>
        </w:rPr>
        <w:t xml:space="preserve">万元，第二包预算金额为</w:t>
      </w:r>
      <w:r>
        <w:rPr>
          <w:rFonts w:ascii="SimSun" w:hAnsi="SimSun" w:eastAsia="SimSun" w:cs="SimSun"/>
          <w:b/>
          <w:color w:val="000000"/>
          <w:sz w:val="24"/>
        </w:rPr>
        <w:t xml:space="preserve">115</w:t>
      </w:r>
      <w:r>
        <w:rPr>
          <w:rFonts w:ascii="SimSun" w:hAnsi="SimSun" w:eastAsia="SimSun" w:cs="SimSun"/>
          <w:color w:val="000000"/>
          <w:sz w:val="24"/>
        </w:rPr>
        <w:t xml:space="preserve">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最高限价，第一包最高限价为105万元，第二包最高限价为115万元，超过最高限价的视为无效投标。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5.项目需求：</w:t>
      </w:r>
      <w:r>
        <w:rPr>
          <w:rFonts w:ascii="SimSun" w:hAnsi="SimSun" w:eastAsia="SimSun" w:cs="SimSun"/>
          <w:color w:val="000000"/>
          <w:spacing w:val="-2"/>
          <w:sz w:val="24"/>
        </w:rPr>
        <w:t xml:space="preserve">具体详见采购文件第四章项目需求部分</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b/>
          <w:color w:val="000000"/>
          <w:sz w:val="24"/>
        </w:rPr>
        <w:t xml:space="preserve">合同签订后接到甲方通知后30天供货安装调试完成。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7.项目类型：货物。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8.所属行业：工业（包括采矿业，制造业，电力、热力、燃气及水生产和供应业）。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上一年度的财务状况报告（供应商成立不满一年无需提供）；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3.落实政府采购政策需满足的资格要求：</w:t>
      </w:r>
      <w:r>
        <w:rPr>
          <w:rFonts w:ascii="SimSun" w:hAnsi="SimSun" w:eastAsia="SimSun" w:cs="SimSun"/>
          <w:b/>
          <w:color w:val="000000"/>
          <w:sz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ascii="SimSun" w:hAnsi="SimSun" w:eastAsia="SimSun" w:cs="SimSun"/>
          <w:color w:val="000000"/>
          <w:sz w:val="24"/>
        </w:rPr>
        <w:t xml:space="preserve">（本项目不专门面向中小企业采购）。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4.本项目不接受进口产品投标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1.投标产品按国家规定须医疗器械注册证的，供应商须提供投标产品的《医疗器械注册证》（复印件加盖公章）；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2.供应商为医疗器械经营企业的，须根据投标产品的类别，提供供应商的《医疗器械经营许可证》或者《二类医疗器械经营备案凭证》（复印件加盖公章）；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3.医疗器械生产企业投标本企业产品的，须提供《医疗器械生产许可证》(复印件加盖公章）；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4.参与第二包的供应商需提供《辐射安全许可证》。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1.时间：2025年12月15日14点00分（北京时间）。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招标文件公告期限为自本公告发布之日起5个工作日。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2.本项目不收取履约保证金。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南通市通州区第二人民医院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南通市通州区金沙街道新三国村19组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联系人：王先生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联系方式：15851266895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w:t>
      </w:r>
      <w:r>
        <w:rPr>
          <w:rFonts w:ascii="SimSun" w:hAnsi="SimSun" w:eastAsia="SimSun" w:cs="SimSun"/>
          <w:color w:val="000000"/>
          <w:sz w:val="24"/>
          <w:u w:val="single"/>
        </w:rPr>
        <w:t xml:space="preserve">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名称：江苏弘业国际技术工程有限公司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地址：南京市中华路50号弘业大厦10楼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联系方式：王苏琪，茅燕凤025-52278674，15951603205</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传真：025-52278761</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邮箱：</w:t>
      </w:r>
      <w:hyperlink r:id="rId12" w:tooltip="mailto:hollyzbzy@artall.com" w:history="1">
        <w:r>
          <w:rPr>
            <w:rStyle w:val="851"/>
            <w:rFonts w:ascii="SimSun" w:hAnsi="SimSun" w:eastAsia="SimSun" w:cs="SimSun"/>
            <w:color w:val="0000ee"/>
            <w:sz w:val="24"/>
            <w:u w:val="single"/>
          </w:rPr>
          <w:t xml:space="preserve">hollyzbzy@artall.com</w:t>
        </w:r>
      </w:hyperlink>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交易系统软件维护人员：0513-59001950 0519-86722801</w:t>
      </w:r>
      <w:r/>
    </w:p>
    <w:p>
      <w:pPr>
        <w:ind w:left="0" w:right="0" w:firstLine="0"/>
        <w:jc w:val="center"/>
        <w:spacing w:before="0" w:after="156"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6"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投标人须知</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投标人应自行承担所有与参加投标有关的费用，无论投标过程中的做法和结果如何，江苏弘业国际技术工程有限公司（以下简称采购代理机构）在任何情况下均无义务和责任承担这些费用。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4.2本次招标采购代理机构和采购人不收取标书工本费、南通市通州区公共资源交易中心不收取中标服务费。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4.3本项目政府采购代理费收费标准按《关于印发（江苏省政府采购代理服务收费指导意见）的通知》（苏政采协（2024）20号）文件规定收取，投标报价综合考虑，由中标供应商支付。</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9"/>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9"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9"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1952625" cy="13144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05935" name=""/>
                              <pic:cNvPicPr>
                                <a:picLocks noChangeAspect="1"/>
                              </pic:cNvPicPr>
                              <pic:nvPr/>
                            </pic:nvPicPr>
                            <pic:blipFill>
                              <a:blip/>
                              <a:stretch/>
                            </pic:blipFill>
                            <pic:spPr bwMode="auto">
                              <a:xfrm>
                                <a:off x="0" y="0"/>
                                <a:ext cx="1952624" cy="1314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8pt;height:103.5pt;mso-wrap-distance-left:0.0pt;mso-wrap-distance-top:0.0pt;mso-wrap-distance-right:0.0pt;mso-wrap-distance-bottom:0.0pt;" stroked="false">
                      <v:path textboxrect="0,0,0,0"/>
                    </v:shape>
                  </w:pict>
                </mc:Fallback>
              </mc:AlternateContent>
            </w:r>
            <w:r/>
          </w:p>
        </w:tc>
      </w:tr>
    </w:tbl>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采购代理机构有权按照法定的要求推迟投标截止日期和开标日期。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numPr>
          <w:ilvl w:val="0"/>
          <w:numId w:val="13"/>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numPr>
          <w:ilvl w:val="0"/>
          <w:numId w:val="13"/>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15.1投标有效期为采购代理机构规定的开标之日后六十（60）天。投标有效期比规定短的将被视为未实质性响应招标文件而予以拒绝。</w:t>
      </w:r>
      <w:r/>
    </w:p>
    <w:p>
      <w:pPr>
        <w:numPr>
          <w:ilvl w:val="0"/>
          <w:numId w:val="14"/>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投标有效期的延长</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numPr>
          <w:ilvl w:val="0"/>
          <w:numId w:val="15"/>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numPr>
          <w:ilvl w:val="0"/>
          <w:numId w:val="14"/>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numPr>
          <w:ilvl w:val="0"/>
          <w:numId w:val="14"/>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采购代理机构可以按照规定，通过修改招标文件酌情延长投标截止日期，在此情况下，投标人的所有权利和义务以及投标人受制的截止日期均应以延长后新的截止日期为准。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采购代理机构拒绝接收在其规定的投标截止时间后上传的任何投标文件。</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电子投标文件的撤回投标人可在投标截止时间前，撤回其电子投标文件，具体操作方法见《操作手册》。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采购代理机构将在招标公告中规定的时间和地点组织公开开标。投标人应当按照《操作手册》规定，参加开标活动和在苏采云系统规定的时间内对投标文件进行解密。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开标后，采购代理机构将立即组织评标委员会（以下简称评委会）进行评标。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采购代理机构和评标委员会不向未中标的投标人解释未中标原因，也不公布评标过程中的相关细节。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25.6投标人在开、评标全过程中应保持通讯畅通，及时登录苏采云系统查阅、答复相关信息，并安排专人与代理机构及评标委员会联系。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26.1.7不符合招标文件中规定的实质性要求和条件的（本招标文件中斜体且有下划线部分为实质性要求和条件）。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26.2.1符合专业条件的供应商或者对招标文件作实质响应的供应商不足三家的。27.2.2出现影响采购公正的违法、违规行为的。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采购代理机构将在“江苏政府采购网”发布中标公告，公告期限为1个工作日。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采购人及采购代理机构只接收以纸质原件形式送达的质疑，建议供应商尽量通过邮寄方式提交质疑（采购人和采购代理机构不接受未填写快递运单的快件）。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28.5 以下情形的质疑不予受理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中标结果确定后，交易中心将向中标人发出中标通知书。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32、政府采购履约资金扶持政策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33、商品包装环保要求：应当按《关于印发〈商品包装政府采购需求标准（试行）〉、〈快递包装政府采购需求标准（试行）〉的通知》（财办库〔2020〕123号）文件执行。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 3 层，空隙率不大于40%；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（2）商品包装尽可能使用单一材质的包装材料，如因功能需求必需使用不同材质，不同材质间应便于分离；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（3）商品包装中铅、汞、镉、六价铬的总含量应不大于100mg/kg；</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（4）商品包装印刷使用的油墨中挥发性有机化合物(VOCs)含量应不大于 5%（以重量计）；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（5）塑料材质商品包装上呈现的印刷颜色不得超过 6 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（6）纸质商品包装应使用 75%以上的可再生纤维原料生产；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（7）木质商品包装的原料应来源于可持续性森林。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（1）快递包装中重金属（铅、汞、镉、六价铬）总量应不大于 100mg/kg；</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（2）快递包装印刷使用的油墨中不应添加邻苯二甲酸酯，其挥发性有机化合物(VOCs)含量应不大于5%（以重量计）；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（3）快递包装中使用纸基材的包装材料，纸基材中的有机氯的含量应不大于 150 mg/kg；</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（5）快递中使用的塑料包装袋不得使用聚氯乙烯作为原料，且原料应为单一材质制成，生物分解率大于60%；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（6）快递中使用的充气类填充物不得使用聚氯乙烯作为原料，且原料为单一材质制成，生物分解率大于60%；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（7）快递中使用的集装袋应为单一材质制成，其重复使用次数应不小于 80 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（8）快递中应使用幅宽不大于45mm 的生物降解胶带；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（9）快递包装中不得使用溶剂型胶粘剂；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（11）快递应使用电子面单；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（12）直接使用商品包装作为快递包装的商品，其商品包装满足《商品包装政府采购需求标准（试行）》即可；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（13）快递包装产品质量和封装方式应符合相关国家或行业标准技术指标要求。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（1）采购数据中心相关设备、运维服务，应当有利于节约能源、环境保护和资源循环利用。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（3）成交供应商未按合同约定提供设备或服务的，采购人依法追究其违约责任。对供应商提供虚假材料谋取中标、成交的，依法由相关部门予以处理。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w:t>
      </w:r>
      <w:r>
        <w:rPr>
          <w:rFonts w:ascii="SimSun" w:hAnsi="SimSun" w:eastAsia="SimSun" w:cs="SimSun"/>
          <w:color w:val="000000"/>
          <w:sz w:val="21"/>
          <w:u w:val="single"/>
        </w:rPr>
        <w:t xml:space="preserve">                       </w:t>
      </w:r>
      <w:r>
        <w:rPr>
          <w:rFonts w:ascii="SimSun" w:hAnsi="SimSun" w:eastAsia="SimSun" w:cs="SimSun"/>
          <w:color w:val="000000"/>
          <w:sz w:val="21"/>
        </w:rPr>
        <w:t xml:space="preserve">（供应商）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numPr>
          <w:ilvl w:val="0"/>
          <w:numId w:val="1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采购项目编号：</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599"/>
        <w:gridCol w:w="1471"/>
        <w:gridCol w:w="976"/>
        <w:gridCol w:w="1143"/>
        <w:gridCol w:w="1300"/>
        <w:gridCol w:w="1413"/>
        <w:gridCol w:w="853"/>
      </w:tblGrid>
      <w:tr>
        <w:trPr>
          <w:trHeight w:val="6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（4）政府采购组织形式：¨政府集中采购¨部门集中采购þ分散采购</w:t>
      </w:r>
      <w:r>
        <w:rPr>
          <w:rFonts w:ascii="SimSun" w:hAnsi="SimSun" w:eastAsia="SimSun" w:cs="SimSun"/>
          <w:color w:val="000000"/>
          <w:sz w:val="22"/>
        </w:rPr>
        <w:t xml:space="preserve">□</w:t>
      </w:r>
      <w:r>
        <w:rPr>
          <w:rFonts w:ascii="SimSun" w:hAnsi="SimSun" w:eastAsia="SimSun" w:cs="SimSun"/>
          <w:color w:val="000000"/>
          <w:sz w:val="21"/>
        </w:rPr>
        <w:t xml:space="preserve">限额以下采购。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SimSun" w:hAnsi="SimSun" w:eastAsia="SimSun" w:cs="SimSun"/>
          <w:color w:val="000000"/>
          <w:sz w:val="22"/>
        </w:rPr>
        <w:t xml:space="preserve">☑</w:t>
      </w:r>
      <w:r>
        <w:rPr>
          <w:rFonts w:ascii="SimSun" w:hAnsi="SimSun" w:eastAsia="SimSun" w:cs="SimSun"/>
          <w:color w:val="000000"/>
          <w:sz w:val="21"/>
        </w:rPr>
        <w:t xml:space="preserve">公开招标 ¨邀请招标 ¨竞争性谈判 ¨竞争性磋商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¨询价 ¨单一来源 ¨框架协议 ¨其他：</w:t>
      </w:r>
      <w:r>
        <w:rPr>
          <w:rFonts w:ascii="SimSun" w:hAnsi="SimSun" w:eastAsia="SimSun" w:cs="SimSun"/>
          <w:color w:val="000000"/>
          <w:sz w:val="21"/>
          <w:u w:val="single"/>
        </w:rPr>
        <w:t xml:space="preserve">          </w:t>
      </w:r>
      <w:r/>
    </w:p>
    <w:p>
      <w:pPr>
        <w:ind w:left="0" w:right="0" w:firstLine="2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w:t>
      </w:r>
      <w:r>
        <w:rPr>
          <w:rFonts w:ascii="SimSun" w:hAnsi="SimSun" w:eastAsia="SimSun" w:cs="SimSun"/>
          <w:color w:val="000000"/>
          <w:sz w:val="21"/>
        </w:rPr>
        <w:t xml:space="preserve">中标（成交）采购标的制造商是否为中小企业：¨是¨否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中标（成交）采购标的制造商是否为残疾人福利性单位：¨是¨否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中标（成交）采购标的制造商是否为监狱企业：¨是¨否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¨大型企业¨中型企业¨小微型企业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¨残疾人福利性单位 ¨监狱企业 ¨其他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（8）中标（成交）供应商是否为外商投资企业：¨是¨否</w:t>
      </w:r>
      <w:r/>
    </w:p>
    <w:p>
      <w:pPr>
        <w:ind w:left="0" w:right="0" w:firstLine="420"/>
        <w:jc w:val="both"/>
        <w:spacing w:before="0" w:after="0" w:line="400"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外商投资企业类型：¨全部由外国投资者投资¨部分由外国投资者投资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是否涉及绿色产品：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☑是¨否¨不涉及</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☑固定总价 ¨固定单价 ¨固定费率 ¨成本补偿 ¨绩效激励 ¨其他</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¨全额付款：</w:t>
      </w:r>
      <w:r>
        <w:rPr>
          <w:rFonts w:ascii="SimSun" w:hAnsi="SimSun" w:eastAsia="SimSun" w:cs="SimSun"/>
          <w:color w:val="000000"/>
          <w:sz w:val="21"/>
          <w:u w:val="single"/>
        </w:rPr>
        <w:t xml:space="preserve">  /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☑分期付款：</w:t>
      </w:r>
      <w:r>
        <w:rPr>
          <w:rFonts w:ascii="SimSun" w:hAnsi="SimSun" w:eastAsia="SimSun" w:cs="SimSun"/>
          <w:b/>
          <w:color w:val="000000"/>
          <w:sz w:val="21"/>
          <w:u w:val="single"/>
        </w:rPr>
        <w:t xml:space="preserve">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¨成本补偿：</w:t>
      </w:r>
      <w:r>
        <w:rPr>
          <w:rFonts w:ascii="SimSun" w:hAnsi="SimSun" w:eastAsia="SimSun" w:cs="SimSun"/>
          <w:color w:val="000000"/>
          <w:sz w:val="21"/>
          <w:u w:val="single"/>
        </w:rPr>
        <w:t xml:space="preserve">  /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¨绩效激励：</w:t>
      </w:r>
      <w:r>
        <w:rPr>
          <w:rFonts w:ascii="SimSun" w:hAnsi="SimSun" w:eastAsia="SimSun" w:cs="SimSun"/>
          <w:color w:val="000000"/>
          <w:sz w:val="21"/>
          <w:u w:val="single"/>
        </w:rPr>
        <w:t xml:space="preserve">  /  </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（3）履约担保：是否收取履约保证金：□是þ否</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18"/>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验收组织方式：☑自行组织 ¨委托第三方组织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是否存在破坏性检测：¨是，</w:t>
      </w:r>
      <w:r>
        <w:rPr>
          <w:rFonts w:ascii="SimSun" w:hAnsi="SimSun" w:eastAsia="SimSun" w:cs="SimSun"/>
          <w:color w:val="000000"/>
          <w:sz w:val="21"/>
          <w:u w:val="single"/>
        </w:rPr>
        <w:t xml:space="preserve">（应明确对被破坏的检测产品的处理方式）</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（计划于何时验收/供应商提出验收申请之日起7日内组织验收）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¨分期/分项验收：</w:t>
      </w:r>
      <w:r>
        <w:rPr>
          <w:rFonts w:ascii="SimSun" w:hAnsi="SimSun" w:eastAsia="SimSun" w:cs="SimSun"/>
          <w:color w:val="000000"/>
          <w:sz w:val="21"/>
          <w:u w:val="single"/>
        </w:rPr>
        <w:t xml:space="preserve"> （应明确分期/分项验收的工作安排）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本合同自双方签字盖章后生效。</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4</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2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2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2025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1"/>
        <w:gridCol w:w="2412"/>
        <w:gridCol w:w="1979"/>
        <w:gridCol w:w="2739"/>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val="false"/>
          </w:tcPr>
          <w:p>
            <w:pPr>
              <w:ind w:left="0" w:right="0" w:firstLine="0"/>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ind w:left="0" w:right="0" w:firstLine="0"/>
        <w:jc w:val="center"/>
        <w:spacing w:before="1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19"/>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2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2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政府采购政策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w:t>
      </w:r>
      <w:r>
        <w:rPr>
          <w:rFonts w:ascii="SimSun" w:hAnsi="SimSun" w:eastAsia="SimSun" w:cs="SimSun"/>
          <w:color w:val="000000"/>
          <w:sz w:val="22"/>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1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第三节 政府采购合同专用条款</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63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如有质量异议,乙方应在接到甲方异议的7天内做出书面答复,逾期则视为乙方同意甲方提出的异议和处理意见</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（1）尊重乙方的正当合法权益，按照合同约定的条件，按时支付款项；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（2）接收货物的义务；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（3）根据合同约定的标准和时间，验收货物的义务；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（4）如发生验收不通过，返厂维修、退货时，有相关退货及重新验收的义务；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（5）遵守政府采购的各项法律法规和规章制度。</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1.1乙方应保证合同项下所供货物是全新的、未使用过的。乙方进一步保证，合同项下提供的全部货物没有设计、材料或工艺上的缺陷。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1.2上述保证在货物验收合格交付甲方使用之日起的质量保证期内有效，在质保期内乙方免费提供货物正常使用情况下发生故障的维修服务。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1.5保期内因用户使用、管理不当所造成的损失由甲方承担，乙方提供有偿服务。</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按照国家法律法规要求执行</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商品包装环保要求：应当按《关于印发〈商品包装政府采购需求标准（试行）〉、〈快递包装政府采购需求标准（试行）〉的通知》（财办库〔2020〕123号）文件执行。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按照甲方要求</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运费已包含在合同价内。</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乙方应为派往甲方服务安装的人员投保人身险，保险费用均由乙方负责。如发生安全事故，均有乙方负责承担，甲方不承担连带责任。</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最终按投标承诺为准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1、售后服务及其他：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（1）投标人具有良好的信誉，售后服务及时到位。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（2）供应商免费送货上门、安装调试、人员培训。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（3）供应商应具备完善售后服务体系，在有固定的维护人员并有能力及时处理所有可能发生的故障。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（4）超出保修期后，仍需提供维护服务，并承诺只收取成本费。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（5）如因人为损坏导致产品无法使用，乙方需支持按照成本价进行供货。</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详见采购需求</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应甲方要求，乙方应提供下列服务的一项或各项，所有服务费用已包含在合同总价中。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1.1乙方必须向甲方提供合同货物安装所需的材料及技术资料以及组装/维修所需工具。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1.2乙方派出的安装人员应具备相关的专业知识、技术水平、相应资质和能力，熟悉本合同所述货物的规格、技术指标及安装工艺，有足够能力安装本合同的货物并使之达到本合同要求。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1.3乙方已对甲方现场进行详细考察，完全了解现场的状况及环境要求，并承诺不因上述原因对甲方索赔。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1、乙方同意甲方退货，乙方承担由此发生的一切损失和费用，包括利息、银行手续费、运费、保险费、检验费、仓储费、装卸费以及为保管、维护和退回被拒收货物所发生的其它必要费用。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南通市</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通州区</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采购人保留对合同修改和完善的权利。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b/>
          <w:color w:val="000000"/>
          <w:sz w:val="24"/>
        </w:rPr>
        <w:t xml:space="preserve">货物类项目</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第一包：摆药机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一、采购设备清单及数量：</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3122"/>
        <w:gridCol w:w="1067"/>
        <w:gridCol w:w="9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全自动药品分包机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自动剥药机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智能盘点机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both"/>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bl>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二、产品的技术参数、功能、配置要求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全自动药品分包机</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9"/>
        <w:gridCol w:w="8295"/>
      </w:tblGrid>
      <w:tr>
        <w:trPr>
          <w:trHeight w:val="36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参数要求</w:t>
            </w:r>
            <w:r/>
          </w:p>
        </w:tc>
      </w:tr>
      <w:tr>
        <w:trPr>
          <w:trHeight w:val="77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95" w:type="dxa"/>
            <w:vAlign w:val="center"/>
            <w:textDirection w:val="lrTb"/>
            <w:noWrap w:val="false"/>
          </w:tcPr>
          <w:p>
            <w:pPr>
              <w:ind w:left="10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可以通过HIS系统接收医嘱信息，摆药机按医嘱要求将的片剂或胶囊自动包入同一个药袋内, 并在药袋上打印药品和患者的相关信息。可根据医院HIS系统及药师具体要求，提供软件定制服务。</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自动片剂摆药机应能满足医院当前及未来10年内的需求。</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全自动药品分包机标配独立带RFID芯片药盒不少于310个，机内可装储不少于310种不同片剂、胶囊药品。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具有非机储药、半片药外摆药托盘不少于60格，双托盘结构，可交替使用。（提供实物照片和用户信息）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设备高度≤2M占地面积≤2㎡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全中文操作系统，支持一维条码和二维条码的识别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最高分包可达到60包/分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设备内带电脑主机及及中文液晶操作面板且操作面板为不少于15英寸的超大液晶触摸屏。</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设备自带除湿、恒温功能，在潮湿环境下防止药品受潮、变质。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设备带有自动检测功能，能通过屏幕界面及语音提示错包信息并在不停机的情况下自动分补。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电源：AC220V±10%  50~60HZ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主机自带紧急停止按钮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整机设备出药口可设置正面出药或侧面出药。（提供实物照片和用户信息）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安全性能符合相关设备安全标准，产品质量可靠。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侧面开窗透明设计，可以实现包药过程中取放药盒，不停机加药功能。（提供实物照片和用户信息）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整机采用避光设计，保证药品安全性。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配置临时药盒双预摆盘，在设备摆药过程中，可以在不停机的情况下，预加临时药品，从而提高摆药效率。</w:t>
            </w:r>
            <w:r/>
          </w:p>
        </w:tc>
      </w:tr>
      <w:tr>
        <w:trPr>
          <w:trHeight w:val="53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设备技术性能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机储药品部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机储药品药盒采用抽屉式结构容纳，药品可以分区摆放，防止药品交叉感染。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储药盒前段需具备LED灯显示储位信息。（提供实物照片和用户信息）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机储药品落药通道为开放式结构，方便日常设备清洁。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智能分包设置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可根据药品的形状、重量、质地等设置该药片的个性化落药参数，以保证药品分包过程中同一处方同一餐的药品落入一个包装袋内，避免错包和串包现象发生。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可根据医院调剂习惯，自主设置按照病区病人分包或按照同一分餐分包。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一个医嘱单剂量药品颗粒数过多时，可自动拆分成两包或多包。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具有单品种片剂或胶囊单独分包的功能，可设置单独分包药品标记，设备可自动记忆单独分包；单独分包药品的打印信息可单独编辑，单独存储和查询、统计。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设备自带在线运功摄像头监控功能，保证药品在彻底落地停止运动后进行药品分包，根据药品数量不同而造成的包装时长，实时调整包装时间。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视觉运动侦测技术可以全程记录药仓落药及药包出药情况，并且包药过程中可以实时查看，便于药师核对。（提供视觉侦测的实物照片和用户信息）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自动纠错功能，利用分包尾端运动捕捉及自动识别传感器等技术，能在分包错误袋之后的第一或第二个药袋的整个打印范围内打印醒目标识，且能在不停机的状态下打印：“分包错误”字样或者“X”的标识进行提示，且显示屏上会发出提示和询问；并可设置自动分补，或者询问确认后再分补，自动对错误的分包袋进行重新包装，从而不会改变原来的包药顺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药包阻断检测功能，摆药过程中，药包如果在非正常因素影响下出现的卡包、药包阻断等现象会被检测系统实时侦测到，并在触摸屏显示告警和语音提示，并自动暂停放药动作，等待工作人员检查和处理故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放药装置配备异常落药检测，可以实时检测放药装置在放药处理异常时出现漏药、溢药及时反应，及时在触摸屏输出落药告警并语音提示，暂停放药动作，等待工作人员检查和处理故障。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为保证分包准确性，防止在落药时药粉残留在落药通道内，要求摆药机的所有的垂直落药通道为整体结构，且摆药机所有的落药通道（包括垂直落药通道）可随时打开清理，以保证药品不被交叉污染。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药盒规格≥2种。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药盒可防潮、防紫外线功能；可以清洁、水洗。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药盒须全部为智能药盒；采用RFID的先进技术，绑定药品信息，确定药盒药品唯一性。药盒放置位置和底座号不一致也可正确的分包药品。（提供实物照片和用户信息）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多药盒级联功能，用药量大的药品可分装于多个药盒内，系统自动分配多药盒同时并准确发药。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药盒底部采用RFID数字识别显示器技术，使得药品位置更容易识别。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具有特殊形状自由包装技术，可以将半片药、特殊形状的药品和临时添加的药品做全自动分包，不需提前定制药品模具，节省时间，并且处理单元的增加或减少不会影响机储药品存储数量。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每个药盒有独立防潮层，免费提供药盒及最快捷的药盒调整服务，免费数量不超过所售机型的最大药盒摆放数。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药盒上具有药物品名、药品实物照片、剂量、生产厂家等信息，方便加药核对避免加药差错。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外摆药槽（非机储药）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具有非机储药品集中处理功能，非机储药托盘打开一次可进行多病人、多医嘱集中添加非机储药品；单次非机储药品添加量不少于一个病区。（＞60 条医嘱）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处方信息中有非机储药品需要添加时，外摆药槽可自动弹出，方便药师按照提示添加非机储药品。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储药品添加信息在分包机悬臂式的液晶触摸屏中显示，屏幕仰角大小可调，方便药师按照触摸屏的提示添加非机储药品，且无需打印出加药提示单，满足医院无纸化办公需要，节省办公用品支出，符合国家倡导的低碳环保政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可以选装外置热敏打印机，且采用无线互联技术，可以按照医院要求随意摆放位置，实现非机储药品添加信息实时打印，且方便装订存档。实现医院标准化管理记录流程。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非机储药品托盘具有单独进行外摆药分包功能，可以用于外摆药品的门诊大瓶药品拆零分包和分包医嘱必要时用法的分包，也可以和机储药品混合分包。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分包袋采用可降解环保材料，印字面覆哑膜，包装好的药袋在保证韧性的同时不用剪刀即可撕开。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打印的内容和版面支持由医院操作人员自行编辑和排版。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分包袋采用半透明医用级材料制成，可打印患者信息、医嘱信息和药品信息便于核对，打印内容也可根据医院需求进行自由设定。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同一个药包袋上打印患者信息（患者姓名、性别、年龄、病区、病房、病床、患者ID）、服药信息（服药日期和时间）、药品信息（品名、数量、规格、厂家、单位、效期、批号等）、一维条形码、二维条形码、医师的嘱托、用药注意事项、药品种数、总数量、医院徽标、医院的院训口号等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单处方药品装载量超过设定的药袋长度或药袋调节的最大长度，具备分成二包分装功能。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碳带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打印字迹清晰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碳带更换方便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打印系统功能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可在药品包装袋上自动打印患者信息、医嘱信息、药品信息，其内容可自行编辑。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字体可打印在不透明的一面，打印字体清晰不掉色。</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系统操作界面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设备携带的操作和信息显示系统为液晶触摸屏，直观、方便操作。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操作界面为中文显示。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各种预警以图文方式显示于操作界面。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使用悬臂式多角度可调节电脑触摸屏操作，操作人员能及时了解机器的运行情况，以及错误提示、补充药品提示、掌握半片剂特殊形状药品投放。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系统控制软件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能够实时显示处方中患者的相关信息（姓名、ID、病区等）和药品信息（药品的名称、数量、规格、 剂量等）。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药品实时盘点，药品消耗统计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药品种类、存量、用量、批次等信息管理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应具备药品种类、数量显示，可设置最低药量和药品种类预警值。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应具备开机自检功能，开机自动弹出每日缺少药品添加信息。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应具备包装纸少纸报警提示及色带缺少中文语音报警提示。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药盒缺药报警提示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具有分包药品信息自动存储功能，并具有分包药品信息统计功能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应具备医嘱信息、患者信息、药品信息等可永久保存于数据库，便于查询。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分包机软件具备升级能力，能满足医院后期发展要求。</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自动剥药机</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7"/>
        <w:gridCol w:w="8297"/>
      </w:tblGrid>
      <w:tr>
        <w:trPr>
          <w:trHeight w:val="36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电源要求：AC 220V，50Hz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额定功率</w:t>
              <w:tab/>
              <w:t xml:space="preserve">≥50W</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剥药速度</w:t>
              <w:tab/>
              <w:t xml:space="preserve">≥50板/分钟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适用于PTP药板中成行排列的片剂、胶囊等药品的电动剥出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电动推送模式，旋转刀具和橡胶棒挤压模式出药，采用304不锈钢材料防止污染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可根据药片大小调节隔板间距，无需拆卸胶辊即可完成调节</w:t>
              <w:tab/>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具备可独立拆卸结构，便于日常维护与清洁，防止药品交叉污染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具有防夹手传感装置及警示、急停功能，保障操作人员安全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具备双向旋转提升机构，确保不同尺寸药片均可顺利剥离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配备透明有机玻璃接药盒，剥出药品自动落入药盒内，避免二次污染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tab/>
              <w:t xml:space="preserve">≤300(W) × ≤300(D) × ≥250(H) mm</w:t>
              <w:tab/>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整机重量</w:t>
              <w:tab/>
              <w:t xml:space="preserve">≤15 kg</w:t>
              <w:tab/>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木制箱包装，运输防护良好，防止设备损伤</w:t>
              <w:tab/>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适用于室内洁净环境，温度5℃～40℃，湿度≤85%RH</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符合国家及行业相关安全、卫生标准</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智能点数机</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9"/>
        <w:gridCol w:w="3249"/>
        <w:gridCol w:w="3249"/>
      </w:tblGrid>
      <w:tr>
        <w:trPr>
          <w:trHeight w:val="3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详细技术参数及要求</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7" w:type="dxa"/>
            <w:vAlign w:val="center"/>
            <w:textDirection w:val="lrTb"/>
            <w:noWrap w:val="false"/>
          </w:tcPr>
          <w:p>
            <w:pPr>
              <w:ind w:left="0" w:right="0" w:firstLine="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系统总体要求</w:t>
            </w:r>
            <w:r/>
          </w:p>
        </w:tc>
      </w:tr>
      <w:tr>
        <w:trPr>
          <w:trHeight w:val="3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220V  50HZ</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通过扫描药盒条码，将对应药品的盘点数据自动显示在盘点程序界面，并存至后台数据库。</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系统组成:液晶屏、扫描枪、测重仪、通讯线及应用软件配置</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设备软件程序应具备:条码绑定、药品信息维护、盘点记录、库存查询、操作记录、人员管理、设备维护、药品盘点等功能，其中药品盘点界面应自动显示当前盘点药品的名称、规格、厂家、分包机储位信息，同时将历史库存与本次盘点数据同时显示出来。</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开机自检功能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开机自检功能:具备开机后设备自动反馈各个功能模块的状态。</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药品添加/删除/修改功能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药品添加/删除/修改功能:根据药品的管理规范和流程定制药品添加、删除和修改功能。</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具备盘点数据独立显示功能，即当不连接程序时，此界面可显示对应盘点数据（提供图片佐证）</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7" w:type="dxa"/>
            <w:vAlign w:val="center"/>
            <w:textDirection w:val="lrTb"/>
            <w:noWrap w:val="false"/>
          </w:tcPr>
          <w:p>
            <w:pPr>
              <w:ind w:left="0" w:right="0" w:firstLine="1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系统规格要求</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程序需通过账户登录来确保安全防护。</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安装方式:桌面式，即插即用。</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操作方式：基础信息录入，可盘点导出，操作界面直观高效；扫描枪更加便捷。</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药品信息：根据提示显示目前所在药盒的药品数量，如提示“异常”或“暂无数据”需录入药盒以及对应药品信息</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人员管理：支持对用户名的增删改查，权限等设置</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交接班管理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both"/>
              <w:spacing w:before="0" w:after="0"/>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交接班管理：可导出今天判断记录的数量信息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按要求生成清单，便于交接班</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智能药箱招标参数</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457"/>
        <w:gridCol w:w="7239"/>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要求说明</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满足手术间、重症监护室对麻醉药品、高危药品的安全存贮、即时取用和信息化管理的要求。解决麻醉科麻、精药品信息化安全管理的问题；提升医院药事管理的规范化和信息化水平。</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系统登录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支持账号密码、工卡登录、语音开锁方式</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支持单支药品管理，自动生成用药记录单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补货任务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自动生成补货单，用于核对，未补齐储位采用提示灯提醒</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药物查询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支持查询药物信息，包括品名、规格、数量、批号、效期</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近效期药品提示更换使用避免浪费，更换厂家信息同步更换药品</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药品储位对应显示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将每层药品存储位置布局在显示器上同步布局对应显示信息，方便查找药品</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效期管理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管理药品的效期信息。设置对近效期和过期药品提示灯提示</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术程取药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支持按照术程取药，取出后自动生成使用清单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医嘱取药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支持按照医嘱取药，取出后自动生成使用清单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取药提醒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根据医嘱取药，需具备语音提示，同时对应药品模块穴位亮灯提示，拿错提醒（提供实物照片）</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手工加药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可以通过手动选取需要加货的药品的添加</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加药单加药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支持通过加药单补货</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库存盘点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支持盘点药品信息、数量、效期</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穴位管理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每支药品需采用单独穴位管控，每种药品采用独立模块，自动识别药品存放并在药箱屏幕上显示信息（提供实物照片）</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自动更新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自动更新软件和数据库版本，确保系统性能和数据完整性</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支持录入、修改、删除人员信息用于记录使用记录追溯</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权限设定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支持设置不同职位人员权限，登陆后展示对应的功能</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设备信息维护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支持对设备进行增删改查</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支持显示设备在线状态</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基数管理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支持管理麻醉药品基数，针对不同科室不同场景实现采用不同的药品，防止药品的冗余浪费</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效期管理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管理药品的效期信息，设置近效期和过期药品颜色提示</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药品字典管理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管理药品字典，增加、删除、修改药品信息</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药品储位对应显示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将每层药品存储位置布局在显示器上同步布局对应显示信息，方便调整药品信息</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废液回收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需具备废液回收单元格，与设备一体化，并需自带摄像头可拍摄残液倾倒过程（提供实物照片）</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库存信息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通过选择设备，查看对应设备的库存信息</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补货任务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根据终端使用记录生成补货任务单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盘点管理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支持盘点药品，并生成盘点记录、盘点分析记录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显示废液回收记录、终端设备操作记录、管理系统历史记录</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提供数据统计分析功能，包括麻醉药箱使用情况、药品使用情况，帮助管理人员做出优化决策</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标签打印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需配备内置式药品品名标签打印机，与设备一体化（提供实物照片）</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需自带UPS电源，具备无线充电功能；同时可外接插座充电（提供实物照片）</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第二包：数字化医用X射线摄影系统（DR）</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
        <w:gridCol w:w="84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性能参数要求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数字平板探测器，数量 2块。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碘化铯非晶硅无线平板探测器，像素尺寸≤140微米，且具备电缆供电的固定使用模式。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探测器成像矩阵≥3000*3000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最大空间分辨率≥3.6线对/毫米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DQE量子捕获效率（最大值） ≥70%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探测器尺寸规格≥43厘米X 43厘米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探测器重量≤4.7公斤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A/D数模转换≥16比特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探测器供电方式：锂电池供电，非电容方式供电。(需提供平板正反面照片）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X射线高压发生器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设备配置的X射线高压发生器是DR主机原厂设计生产并与主机同一品牌（提供注册检测报告中发生器铭牌或注册检测报告中关键部件列表证明）。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高压产生方式: 最高开关频率≥240kHz。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最大功率</w:t>
            </w:r>
            <w:r>
              <w:rPr>
                <w:rFonts w:ascii="SimSun" w:hAnsi="SimSun" w:eastAsia="SimSun" w:cs="SimSun"/>
                <w:color w:val="000000"/>
                <w:sz w:val="24"/>
              </w:rPr>
              <w:t xml:space="preserve">≥65千瓦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管电压范围40-150千伏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具备自动曝光量控制功能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最短曝光时间≤1毫秒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最长曝光时间≥6秒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摄影最小管电流≤10毫安；摄影最大管电流</w:t>
            </w:r>
            <w:r>
              <w:rPr>
                <w:rFonts w:ascii="SimSun" w:hAnsi="SimSun" w:eastAsia="SimSun" w:cs="SimSun"/>
                <w:color w:val="000000"/>
                <w:sz w:val="24"/>
                <w:u w:val="none"/>
              </w:rPr>
              <w:t xml:space="preserve">≥</w:t>
            </w:r>
            <w:r>
              <w:rPr>
                <w:rFonts w:ascii="SimSun" w:hAnsi="SimSun" w:eastAsia="SimSun" w:cs="SimSun"/>
                <w:color w:val="000000"/>
                <w:sz w:val="24"/>
              </w:rPr>
              <w:t xml:space="preserve">800毫安。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摄影最小电流时间积≤0.1毫安秒；摄影最大电流时间积≥800毫安秒。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双焦点， 焦点规格：小焦点≤0.6毫米，大焦点≤1.2毫米。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小焦点功率≥27千瓦，大焦点功率≥75千瓦。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阳极热容量≥300kHu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高速旋转阳极，阳极转速≥8000转/分钟。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X射线束光器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束光器具备手动调节投照视野方式以及根据预设自动控制投照视野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束光器有LED射野灯光定时控制开关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数字显示：SID, 纵横向束光位置，X射线滤波板选择。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束光器内置多片可供组合附加滤过片， 可以组成多档位滤过板， 档位数量≥3种。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悬吊式X射线球管机架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五自由度运动悬吊式X射线球管支架（水平面纵、横向、垂直方向；围绕水平轴、垂直轴旋转）。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X射线球管运动及旋转：水平面X轴电动及手动驱动，水平面Y轴电动及手动驱动，垂直方向电动及手动升降，X线球管围绕水平轴电动及手动旋转。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X射线球管移动范围：水平面X轴≥300厘米，水平面Y轴≥180厘米,垂直方向升降≥150厘米。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X射线球管旋转角度范围：围绕垂直轴旋转角度范围≥+/-150度、并且球管围绕水平轴旋转角度范围≥+/-170度。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悬吊X射线球管自动跟踪功能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X射线球管可以垂直方向跟踪检查床面升降；X射线球管可以在垂直对中状态或倾斜角度状态跟踪检查床的探测托架（bucky）左右移动。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X射线球管可在垂直状态或倾斜状态下自动跟踪垂直或倾斜状态的胸片架探测器托架（bucky）升降；水平状态的X线球管可以垂直跟踪胸片架水平状态的探测器托架（bucky）垂直升降。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tabs>
                <w:tab w:val="left" w:pos="4320" w:leader="none"/>
                <w:tab w:val="left" w:pos="86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悬吊X射线球管可在检查床及胸片架摄影位置进行全电动位置切换对中定位，同时也可在胸片架100厘米及180厘米双位置电动切换定位。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X射线球管端近台操作控制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可以同步显示患者检查信息列表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可以同步进行曝光界面操作：SID、球管角度显示，采集界面包括患者姓名、性别、检查体位、KV与mAs的显示及调节，AEC显示及选择，患者检查体型显示及设置，滤过显示。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球管端近台操作屏，尺寸≥10英寸，且可显示曝光后的预览图像，并可确认操作。           （提供真机演示图片）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X射线球管端状态指示灯可指示：机架运动、曝光、设备故障、紧急制动等状态。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红外遥控装置，可以控制包含：胸片架升降；束光器视野、指示灯控制；自动跟踪、自动定位等功能。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胸片架装置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探测器托架（bucky）垂直电动移动范围≥145厘米，翻转角度≥-20度- +90度。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探测器托架支持43厘米X 43厘米型探测器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电离室自动曝光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可更换滤线栅装置，滤线栅密度≥40线/厘米，栅格比≥10:1， 摄影焦距满足100厘米-180厘米。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立柱顶端状态指示灯可指示：机架运动、曝光、设备故障、紧急制动等状态。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固定检查床装置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床面四方向浮动、升降固定安装检查床， 可电动升降，升降范围≥25厘米。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床面水平横向移动≥±14厘米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床面水平纵向移动≥±38 厘米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检查床探测器托架（bucky）支持43厘米X43厘米规格探测器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脚踏式控制床面运动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可更换滤线栅装置，滤线栅密度≥40线/厘米，栅格比≥10:1。</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床面最大承重≥290KG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电离室自动曝光控制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为方便技师操作和安全使用，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若为中间支撑的固定床，床面侧导轨应具备控制手柄：可通过控制手柄和脚闸2种方式控制检查床面升降及浮动；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若为单端支撑(非中间支撑)固定床，可通过脚踏方式控制检查床面升降及浮动。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主系统控制及图像处理系统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系统控制（包含发生器）与信息、图像控制一体化设计。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具备触摸屏操作、 键盘操作、鼠标操作模式。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主机工作站硬盘容量≥1TB，图像存贮容量不小于5000幅（非压缩）。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CPU主频≥4.1G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主机内存≥32GB，GPU内存≥8GB</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DVD光驱装置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监视器（LCD）尺寸≥23英寸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接口支持：通过以太网输出DICOM-3.0格式图像,有传输、打印、存储、工作列表等功能。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条形码病人信息输入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图像处理功能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图像放大功能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病人资料显示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边缘增强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亮度调节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对比度调节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图像反转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多频率窗/多灰度窗图像管理处理，提高图像显示动态范围，能够保证图像中高、低密度区域影响细节对比度清晰显示。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根据解剖部分自动进行图像优化处理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注释、测量功能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图像打印排版功能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具有中英文界面选择，图形化摄影体位选择，体型选择等功能。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以下高级图像处理软件及应用功能：管线增强显示成像软件；气胸可视化成像软件；虚拟滤线栅；体检专用套件（尘肺病检查模式、骨抑制成像处理技术），如软件名称不一致而功能实质相同的软件，投标人须提供相关证明材料，以证明其功能一致性。</w:t>
            </w:r>
            <w:r/>
          </w:p>
        </w:tc>
      </w:tr>
      <w:tr>
        <w:trPr>
          <w:trHeight w:val="1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化长骨:通过实时视频，用户在操作工作站即可观察并调整长骨图像曝光区域，系统可自动计算出所要采集的图像数量，定位机架做好采集准备。用户按下曝光键，系统可自动采集、自动拼接长骨摄影图像，全自动实现整个过程。（提供真机演示该功能图片）</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辅助摄影摆位（胸部正位）：通过识别患者3D影像，判断患者胸部正位摄影摆位是否满足需求并自动调节胸片架与球管摆位。（需注册检验报告软件功能注明）</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推荐自动曝光控制（AEC）的曝光参数（需注册证软件功能注明）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自动限束器光野调节：通过识别患者3D影像，根据患者体型，系统提供自动束光器光野的大小（需注册证软件功能注明）</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可视化限束器：通过实时视频，用户可在操作软件上虚拟调整束光器的位置与大小，系统可相应自动配置实际束光器的位置与大小（需注册证软件功能注明）。</w:t>
            </w:r>
            <w:r/>
          </w:p>
        </w:tc>
      </w:tr>
    </w:tbl>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numPr>
          <w:ilvl w:val="0"/>
          <w:numId w:val="1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合同签订后接到甲方通知后30天供货安装调试完成。所有设备采用交钥匙工程，DR供应商负责提供配套的铅衣等，设备安装需要的机床施工准备、安装材料等均由供应商提供。</w:t>
      </w:r>
      <w:r/>
    </w:p>
    <w:p>
      <w:pPr>
        <w:numPr>
          <w:ilvl w:val="0"/>
          <w:numId w:val="1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本项目质保期为≥1年。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、采购标的需满足的服务标准、期限、效率等要求：服务期内提供</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小时服务，设备试运行期间如有质量问题，一般障碍</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小时内做出响应，</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小时内应派专业技术人员到达现场提供免费咨询、维修服务，重大障碍 </w:t>
      </w: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小时内解决；如在</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小时内无法排除故障的，必须在</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、采购标的的其他技术、服务等要求：投标人负责完成设备安装、调试、运行和验收交付等工作。投标人应提供详细、可行的项目实施及应急处理方案，并根据项目进度详细列出各个阶段采购人需要配合的内容。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、投标人应提供培训计划（包括临床使用培训，工程师维修保养培训），培训内容为本设备系统操作及常见问题处理，确保临床人员具备独立工作的能力。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480"/>
        <w:jc w:val="both"/>
        <w:spacing w:before="0" w:after="0" w:line="43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 </w:t>
      </w:r>
      <w:r/>
    </w:p>
    <w:p>
      <w:pPr>
        <w:ind w:left="0" w:right="0" w:firstLine="482"/>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采购包一：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1、商务技术标评审标准（70分）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1.1技术、性能、配置（38分）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1.1.1投标产品技术参数全部满足“项目需求”中“技术参数要求”的得满分38分。</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★号指标参数是实质性参数，负偏离直接废标。</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▲号指标参数是重要参数，负偏离扣3分。</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不打“★、▲”号指标参数，负偏离扣2分。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所有响应参数须提供相关证明材料</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1.2所投产品综合性能评价(15分)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所投产品的设计、制造等因素，结合投标文件提供的佐证材料等进行评审。佐证材料包括但不限于主要部件（部件）的实物拍摄照片、材质证明材料、工艺证明材料等，以及产品技术指标的描述、检测文件及证明照片等内容，具体打分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1.2.1产品设计（3分）：评委根据投标文件提供的佐证材料进行评审，产品设计优于招标文件要求得3分；符合招标文件要求得2分；不满足或未提供有效佐证材料不得分。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1.2.2产品制造工艺（3分）：评委根据投标文件提供的佐证材料进行评审，产品制造工艺优于招标文件要求得3分；符合招标文件要求得2分；不满足或未提供有效佐证材料不得分。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1.2.3产品材质（3分）：评委根据投标文件提供的佐证材料进行评审，产品材质优于招标文件要求得3分；符合招标文件要求得2分；不满足或未提供有效佐证材料不得分。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1.2.4产品安全性(2分)：评委根据投标文件提供的佐证材料进行评审，产品安全性优于招标文件要求得2分；符合招标文件要求得1分；不满足或未提供有效佐证材料不得分。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1.2.5产品稳定性（2分）：评委根据投标文件提供的佐证材料进行评审，产品稳定性性优于招标文件要求得2分；符合招标文件要求得1分；不满足或未提供有效佐证材料不得分。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1.2.6产品易用性（2分）：评委根据投标文件提供的佐证材料进行评审，所投产品操作界面、操作流程等方面优于招标文件要求得2分；符合招标文件要求得1分；不满足或未提供有效佐证材料不得分。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1.3项目实施、验收及培训方案(5分)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1.3.1项目实施方案(1分)：由评委根据投标人在协议期内按期供货、安装调试方案、巡检方案以及方案的科学合理、完整、切实可行性等内容进行打分；方案优于招标文件要求的得1分；其他或未提供的不得分。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1.3.2项目验收方案(2分)：投标人应根据招标文件及本项目特点，提供项目验收方案，方案优于招标文件要求的得2分；方案符合招标文件要求的得1分；其他或未提供的不得分。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1.3.3项目培训方案(2分)：投标人应根据招标文件要求提供培训服务，并针对本次项目提供培训方案、师资、教材等，方案优于招标文件要求的2分；方案符合招标文件要求的得1分；其他或未提供的不得分。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1.4售后服务承诺情况(5分)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售后服务实施响应(3分)：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3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1.4.2质保期承诺（2分）：投标人提供的售后服务承诺书需响应招标文件要求的免费质保期一年不得分，</w:t>
      </w:r>
      <w:r>
        <w:rPr>
          <w:rFonts w:ascii="SimSun" w:hAnsi="SimSun" w:eastAsia="SimSun" w:cs="SimSun"/>
          <w:b/>
          <w:color w:val="000000"/>
          <w:sz w:val="24"/>
        </w:rPr>
        <w:t xml:space="preserve">质保期内包含电池</w:t>
      </w:r>
      <w:r>
        <w:rPr>
          <w:rFonts w:ascii="SimSun" w:hAnsi="SimSun" w:eastAsia="SimSun" w:cs="SimSun"/>
          <w:color w:val="000000"/>
          <w:sz w:val="24"/>
        </w:rPr>
        <w:t xml:space="preserve">。投标人在满足招标文件规定的免费质保期基础上，每增加一年免费质保期的加1分，最多加2分（投标人承诺签订合同前提供制造商出具的免费质保期承诺函），未提供的不得分。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1.5产品响应（5分）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3项品目＜同一厂家生产（相同制造商）产品数≤4项品目的得5分；2项品目＜同一厂家生产（相同制造商）产品数≤3项品目得的2分；同一厂家生产（相同制造商）产品数＜3项的不得分。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1.6节能环保（2分）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1.6.1投标产品属于财政部、国家发改委公布的“节能产品品目清单”范围内的，投标人提供国家确定的认证机构出具的、处于有效期之内的该节能产品认证证书复印件的，得1分；未提供的不得分。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1.6.2投标产品属于财政部、生态环境部公布的“环境标志产品品目清单”范围内的，投标人提供国家确定的认证机构出具的、处于有效期内的该环保产品认证证书复印件的，得1分；未提供的不得分。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的评审标准为：即满足招标文件要求且投标价格最低的投标报价为评标基准价，其价格分（即投标报价得分）为满分30分。其他投标人的价格分统一按照下列公式计算：投标报价得分=（评标基准价/投标报价）*价格权重（30%）*100。</w:t>
      </w:r>
      <w:r/>
    </w:p>
    <w:p>
      <w:pPr>
        <w:ind w:left="0" w:right="0" w:firstLine="482"/>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1、商务技术标评审标准（70分）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1.1技术、性能、配置（40分）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1.1.1投标产品技术参数全部满足“项目需求”中“技术参数要求”的得满分40分。</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★号指标参数是实质性参数，负偏离直接废标。</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▲号指标参数是重要参数，负偏离扣3分。</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不打“★、▲”号指标参数，负偏离扣2分。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所有响应参数须提供相关证明材料</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1.2所投产品综合性能评价(18分)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所投产品的设计、制造等因素，结合投标文件提供的佐证材料等进行评审。佐证材料包括但不限于主要部件（部件）的实物拍摄照片、材质证明材料、工艺证明材料等，以及产品技术指标的描述、检测文件及证明照片等内容，具体打分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1.2.1产品设计（3分）：评委根据投标文件提供的佐证材料进行评审，产品设计优于招标文件要求得3分；符合招标文件要求得2分；不满足或未提供有效佐证材料不得分。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1.2.2产品制造工艺（3分）：评委根据投标文件提供的佐证材料进行评审，产品制造工艺优于招标文件要求得3分；符合招标文件要求得2分；不满足或未提供有效佐证材料不得分。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1.2.3产品材质（3分）：评委根据投标文件提供的佐证材料进行评审，产品材质优于招标文件要求得3分；符合招标文件要求得2分；不满足或未提供有效佐证材料不得分。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1.2.4产品安全性(3分)：评委根据投标文件提供的佐证材料进行评审，产品安全性优于招标文件要求得3分；符合招标文件要求得2分；不满足或未提供有效佐证材料不得分。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1.2.5产品稳定性（3分）：评委根据投标文件提供的佐证材料进行评审，产品稳定性性优于招标文件要求得3分；符合招标文件要求得2分；不满足或未提供有效佐证材料不得分。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1.2.6产品易用性（3分）：评委根据投标文件提供的佐证材料进行评审，所投产品操作界面、操作流程等方面优于招标文件要求得3分；符合招标文件要求得2分；不满足或未提供有效佐证材料不得分。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1.3项目实施、验收及培训方案(5分)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1.3.1项目实施方案(1分)：由评委根据投标人在协议期内按期供货、安装调试方案、巡检方案以及方案的科学合理、完整、切实可行性等内容进行打分；方案优于招标文件要求的得1分；其他或未提供的不得分。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1.3.2项目验收方案(2分)：投标人应根据招标文件及本项目特点，提供项目验收方案，方案优于招标文件要求的得2分；方案符合招标文件要求的得1分；其他或未提供的不得分。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1.3.3项目培训方案(2分)：投标人应根据招标文件要求提供培训服务，并针对本次项目提供培训方案、师资、教材等，方案优于招标文件要求的2分；方案符合招标文件要求的得1分；其他或未提供的不得分。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1.4售后服务承诺情况(5分)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售后服务实施响应(3分)：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3分；不符合或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1.4.2质保期承诺（2分）：投标人提供的售后服务承诺书需响应招标文件要求的免费质保期一年不得分，</w:t>
      </w:r>
      <w:r>
        <w:rPr>
          <w:rFonts w:ascii="SimSun" w:hAnsi="SimSun" w:eastAsia="SimSun" w:cs="SimSun"/>
          <w:b/>
          <w:color w:val="000000"/>
          <w:sz w:val="24"/>
        </w:rPr>
        <w:t xml:space="preserve">质保期内包含电池</w:t>
      </w:r>
      <w:r>
        <w:rPr>
          <w:rFonts w:ascii="SimSun" w:hAnsi="SimSun" w:eastAsia="SimSun" w:cs="SimSun"/>
          <w:color w:val="000000"/>
          <w:sz w:val="24"/>
        </w:rPr>
        <w:t xml:space="preserve">。投标人在满足招标文件规定的免费质保期基础上，每增加一年免费质保期的加1分，最多加2分（投标人承诺签订合同前提供制造商出具的免费质保期承诺函），未提供的不得分。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1.5节能环保（2分）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1.5.1投标产品属于财政部、国家发改委公布的“节能产品品目清单”范围内的，投标人提供国家确定的认证机构出具的、处于有效期之内的该节能产品认证证书复印件的，得1分；未提供的不得分。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1.5.2投标产品属于财政部、生态环境部公布的“环境标志产品品目清单”范围内的，投标人提供国家确定的认证机构出具的、处于有效期内的该环保产品认证证书复印件的，得1分；未提供的不得分。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2、投标报价（30分）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的评审标准为：即满足招标文件要求且投标价格最低的投标报价为评标基准价，其价格分（即投标报价得分）为满分30分。其他投标人的价格分统一按照下列公式计算：投标报价得分=（评标基准价/投标报价）*价格权重（30%）*100。</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注1：评审过程中出现下列情形之一的，评标委员会应当启动异常低价投标(响应)审查程序：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1.投标(响应)报价低于采购项目预算50%的，即投标(响应)报价＜采购项目预算×50%；</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2.投标(响应)报价低于采购项目最高限价45%的，即投标(响应)报价＜采购项目最高限价×45%；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2：启动异常低价投标(响应)审查后，评标委员会应当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705"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投标文件组成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5.上一年度的财务状况报告（供应商成立不满一年无需提供）；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9.投标人依据招标文件要求，提交的其他材料。</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符合性条件材料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13.商务要求响应及偏离表。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商务技术文件材料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14.投标人根据招标文件打分项，提交的材料。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报价折扣证明材料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16.残疾人福利性单位声明函。</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备注：本招标文件中要求加盖CA电子签章的地方，仅需加盖牵头单位的CA电子签章。</w:t>
        <w:br w:type="page" w:clear="all"/>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20"/>
      </w:tblGrid>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投标人符合《政府采购法》第二十二条规定条件的声明函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（项目编号）投标活动。针对《中华人民共和国政府采购法》第二十二条规定做出如下声明：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1.我单位具有独立承担民事责任的能力；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2.我单位具有良好的商业信誉和健全的财务会计制度；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3.我单位具有履行合同所必需的设备和专业技术能力；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4.我单位有依法缴纳税收和社会保障资金的良好记录；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6.我单位满足法律、行政法规规定的其他条件。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承诺人名称（加盖CA电子签章）：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rPr>
          <w:rFonts w:ascii="SimSun" w:hAnsi="SimSun" w:eastAsia="SimSun" w:cs="SimSun"/>
          <w:color w:val="000000"/>
          <w:sz w:val="22"/>
          <w:u w:val="single"/>
        </w:rPr>
        <w:t xml:space="preserve">______</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721"/>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本授权书声明：____________（投标人名称）授权___________（被授权人的姓名）为我方就JSZC-</w:t>
      </w:r>
      <w:r>
        <w:rPr>
          <w:rFonts w:ascii="SimSun" w:hAnsi="SimSun" w:eastAsia="SimSun" w:cs="SimSun"/>
          <w:color w:val="000000"/>
          <w:sz w:val="22"/>
          <w:u w:val="single"/>
        </w:rPr>
        <w:t xml:space="preserve">        </w:t>
      </w:r>
      <w:r>
        <w:rPr>
          <w:rFonts w:ascii="SimSun" w:hAnsi="SimSun" w:eastAsia="SimSun" w:cs="SimSun"/>
          <w:color w:val="000000"/>
          <w:sz w:val="22"/>
        </w:rPr>
        <w:t xml:space="preserve">号项目采购活动的合法代理人，以本单位名义全权处理一切与该项目采购有关的事务。</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本授权书于______年____月____日起生效，特此声明。</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被授权人身份证号码：</w:t>
      </w:r>
      <w:r>
        <w:rPr>
          <w:rFonts w:ascii="SimSun" w:hAnsi="SimSun" w:eastAsia="SimSun" w:cs="SimSun"/>
          <w:color w:val="000000"/>
          <w:sz w:val="22"/>
          <w:u w:val="single"/>
        </w:rPr>
        <w:t xml:space="preserve">                              </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被授权人联系电话：（手机）</w:t>
      </w:r>
      <w:r>
        <w:rPr>
          <w:rFonts w:ascii="SimSun" w:hAnsi="SimSun" w:eastAsia="SimSun" w:cs="SimSun"/>
          <w:color w:val="000000"/>
          <w:sz w:val="22"/>
          <w:u w:val="single"/>
        </w:rPr>
        <w:t xml:space="preserve">                          </w:t>
      </w:r>
      <w:r/>
    </w:p>
    <w:p>
      <w:pPr>
        <w:ind w:left="0" w:right="0" w:firstLine="110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授权单位名称：</w:t>
      </w:r>
      <w:r>
        <w:rPr>
          <w:rFonts w:ascii="SimSun" w:hAnsi="SimSun" w:eastAsia="SimSun" w:cs="SimSun"/>
          <w:color w:val="000000"/>
          <w:sz w:val="22"/>
          <w:u w:val="single"/>
        </w:rPr>
        <w:t xml:space="preserve">（加盖CA电子公章）</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单位地址：</w:t>
      </w:r>
      <w:r>
        <w:rPr>
          <w:rFonts w:ascii="SimSun" w:hAnsi="SimSun" w:eastAsia="SimSun" w:cs="SimSun"/>
          <w:color w:val="000000"/>
          <w:sz w:val="22"/>
          <w:u w:val="single"/>
        </w:rPr>
        <w:t xml:space="preserve">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rPr>
          <w:rFonts w:ascii="SimSun" w:hAnsi="SimSun" w:eastAsia="SimSun" w:cs="SimSun"/>
          <w:color w:val="000000"/>
          <w:sz w:val="22"/>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注：</w:t>
      </w:r>
      <w:r>
        <w:rPr>
          <w:rFonts w:ascii="SimSun" w:hAnsi="SimSun" w:eastAsia="SimSun" w:cs="SimSun"/>
          <w:i/>
          <w:color w:val="000000"/>
          <w:sz w:val="24"/>
          <w:u w:val="single"/>
        </w:rPr>
        <w:t xml:space="preserve">附法定代表人与被授权人身份证扫描件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财务状况</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（投标人成立不满一年不需提供）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参加政府采购活动前 3 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2"/>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致：</w:t>
      </w:r>
      <w:r>
        <w:rPr>
          <w:rFonts w:ascii="SimSun" w:hAnsi="SimSun" w:eastAsia="SimSun" w:cs="SimSun"/>
          <w:color w:val="000000"/>
          <w:sz w:val="22"/>
        </w:rPr>
        <w:t xml:space="preserve">南通市通州区第二人民医院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根据贵方的</w:t>
      </w:r>
      <w:r>
        <w:rPr>
          <w:rFonts w:ascii="SimSun" w:hAnsi="SimSun" w:eastAsia="SimSun" w:cs="SimSun"/>
          <w:color w:val="000000"/>
          <w:sz w:val="22"/>
          <w:u w:val="single"/>
        </w:rPr>
        <w:t xml:space="preserve">JSZC-320***</w:t>
      </w:r>
      <w:r>
        <w:rPr>
          <w:rFonts w:ascii="SimSun" w:hAnsi="SimSun" w:eastAsia="SimSun" w:cs="SimSun"/>
          <w:color w:val="000000"/>
          <w:sz w:val="22"/>
        </w:rPr>
        <w:t xml:space="preserve">号招标文件，正式授权下述签字人______（姓名）代表我方______________（投标人的名称），全权处理本次项目投标的有关事宜。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据此函，__________签字人兹宣布同意如下：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1.按招标文件规定的各项要求，向买方提供所需货物（包含与货物相关的服务）。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投标人开户行：</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 </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日期：________年____月____日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小微企业声明函（货物）（标段：**）</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本公司（联合体）郑重声明，根据《政府采购促进中小企业发展管理办法》（财库[2020]46号）的规定，本公司（联合体）参加南通市通州区公共资源交易中心组织的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（项目名称）（标段：**）</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2"/>
          <w:u w:val="single"/>
        </w:rPr>
        <w:t xml:space="preserve">       </w:t>
      </w:r>
      <w:r>
        <w:rPr>
          <w:rFonts w:ascii="SimSun" w:hAnsi="SimSun" w:eastAsia="SimSun" w:cs="SimSun"/>
          <w:color w:val="000000"/>
          <w:sz w:val="22"/>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156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rPr>
          <w:rFonts w:ascii="SimSun" w:hAnsi="SimSun" w:eastAsia="SimSun" w:cs="SimSun"/>
          <w:color w:val="000000"/>
          <w:sz w:val="22"/>
        </w:rPr>
        <w:t xml:space="preserve">供应商全称（加盖CA电子公章）：</w:t>
      </w:r>
      <w:r/>
    </w:p>
    <w:p>
      <w:pPr>
        <w:ind w:left="0" w:right="156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联合体协议（本项目不涉及）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自愿组成联合体，参加南通市通州区第二人民医院组织的采购编号为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投标分项报价表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w="501"/>
        <w:gridCol w:w="467"/>
        <w:gridCol w:w="684"/>
        <w:gridCol w:w="379"/>
        <w:gridCol w:w="474"/>
        <w:gridCol w:w="352"/>
        <w:gridCol w:w="664"/>
        <w:gridCol w:w="603"/>
        <w:gridCol w:w="60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ascii="SimSun" w:hAnsi="SimSun" w:eastAsia="SimSun" w:cs="SimSun"/>
          <w:b/>
          <w:color w:val="000000"/>
          <w:sz w:val="24"/>
        </w:rPr>
        <w:t xml:space="preserve">3.实施过程中部分内容不予实施，中标人不得提出异议与索赔。</w:t>
      </w:r>
      <w:r/>
    </w:p>
    <w:p>
      <w:pPr>
        <w:ind w:left="0" w:right="0" w:firstLine="2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行数不够，可自行添加。</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注：技术要求是指对采购标的的功能和质量要求，包括性能、材料、结构、外观、安全，或者服务内容和标准等。（以上内容按照本项目招标文件实际情况填写）。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w:t>
      </w:r>
      <w:r/>
    </w:p>
    <w:tbl>
      <w:tblPr>
        <w:tblStyle w:val="8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行数不够，可自行添加。</w:t>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商务要求是指取得采购标的的时间、地点、财务和服务要求，包括交付（实施）的时间（期限）和地点（范围）付款条件（进度和方式），包装和运输，售后服务，保险等（以上内容按照本项目招标文件实际情况填写）。</w:t>
        <w:br w:type="page" w:clear="all"/>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质疑供应商：</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2"/>
          <w:u w:val="single"/>
        </w:rPr>
        <w:t xml:space="preserve">                      </w:t>
      </w: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 </w:t>
      </w:r>
      <w:r>
        <w:rPr>
          <w:rFonts w:ascii="SimSun" w:hAnsi="SimSun" w:eastAsia="SimSun" w:cs="SimSun"/>
          <w:color w:val="000000"/>
          <w:sz w:val="22"/>
          <w:u w:val="single"/>
        </w:rPr>
        <w:t xml:space="preserve">                        </w:t>
      </w: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质疑项目的名称：</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质疑项目的编号：</w:t>
      </w:r>
      <w:r>
        <w:rPr>
          <w:rFonts w:ascii="SimSun" w:hAnsi="SimSun" w:eastAsia="SimSun" w:cs="SimSun"/>
          <w:color w:val="000000"/>
          <w:sz w:val="22"/>
          <w:u w:val="single"/>
        </w:rPr>
        <w:t xml:space="preserve">                         </w:t>
      </w:r>
      <w:r>
        <w:rPr>
          <w:rFonts w:ascii="SimSun" w:hAnsi="SimSun" w:eastAsia="SimSun" w:cs="SimSun"/>
          <w:color w:val="000000"/>
          <w:sz w:val="22"/>
        </w:rPr>
        <w:t xml:space="preserve">包号：</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采购人名称：</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采购文件获取日期：</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质疑事项1：</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事实依据：</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法律依据：</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请求：</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签字（签章）：公章：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3.质疑供应商若对项目的某一分包进行质疑，质疑函中应列明具体标段。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Symbol">
    <w:panose1 w:val="05050102010706020507"/>
  </w:font>
  <w:font w:name="华文楷体">
    <w:panose1 w:val="02010600040101010101"/>
  </w:font>
  <w:font w:name="Wingdings">
    <w:panose1 w:val="05000000000000000000"/>
  </w:font>
  <w:font w:name="微软雅黑">
    <w:panose1 w:val="020B0503020204020204"/>
  </w:font>
  <w:font w:name="Calibri">
    <w:panose1 w:val="020F0502020204030204"/>
  </w:font>
  <w:font w:name="MingLiU">
    <w:panose1 w:val="02020500000000000000"/>
  </w:font>
  <w:font w:name="仿宋">
    <w:panose1 w:val="02010609060101010101"/>
  </w:font>
  <w:font w:name="Tahoma">
    <w:panose1 w:val="020B0604030504040204"/>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p>
    <w:pPr>
      <w:pStyle w:val="10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54" w:hanging="454"/>
        <w:tabs>
          <w:tab w:val="left" w:pos="397" w:leader="none"/>
        </w:tabs>
      </w:pPr>
      <w:rPr>
        <w:rFonts w:hint="default"/>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10"/>
  </w:num>
  <w:num w:numId="4">
    <w:abstractNumId w:val="11"/>
  </w:num>
  <w:num w:numId="5">
    <w:abstractNumId w:val="3"/>
  </w:num>
  <w:num w:numId="6">
    <w:abstractNumId w:val="7"/>
  </w:num>
  <w:num w:numId="7">
    <w:abstractNumId w:val="5"/>
  </w:num>
  <w:num w:numId="8">
    <w:abstractNumId w:val="4"/>
  </w:num>
  <w:num w:numId="9">
    <w:abstractNumId w:val="1"/>
  </w:num>
  <w:num w:numId="10">
    <w:abstractNumId w:val="6"/>
  </w:num>
  <w:num w:numId="11">
    <w:abstractNumId w:val="8"/>
  </w:num>
  <w:num w:numId="12">
    <w:abstractNumId w:val="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827"/>
    <w:link w:val="818"/>
    <w:uiPriority w:val="9"/>
    <w:rPr>
      <w:rFonts w:ascii="Arial" w:hAnsi="Arial" w:eastAsia="Arial" w:cs="Arial"/>
      <w:sz w:val="40"/>
      <w:szCs w:val="40"/>
    </w:rPr>
  </w:style>
  <w:style w:type="character" w:styleId="781">
    <w:name w:val="Heading 2 Char"/>
    <w:basedOn w:val="827"/>
    <w:link w:val="819"/>
    <w:uiPriority w:val="9"/>
    <w:rPr>
      <w:rFonts w:ascii="Arial" w:hAnsi="Arial" w:eastAsia="Arial" w:cs="Arial"/>
      <w:sz w:val="34"/>
    </w:rPr>
  </w:style>
  <w:style w:type="character" w:styleId="782">
    <w:name w:val="Heading 3 Char"/>
    <w:basedOn w:val="827"/>
    <w:link w:val="820"/>
    <w:uiPriority w:val="9"/>
    <w:rPr>
      <w:rFonts w:ascii="Arial" w:hAnsi="Arial" w:eastAsia="Arial" w:cs="Arial"/>
      <w:sz w:val="30"/>
      <w:szCs w:val="30"/>
    </w:rPr>
  </w:style>
  <w:style w:type="character" w:styleId="783">
    <w:name w:val="Heading 4 Char"/>
    <w:basedOn w:val="827"/>
    <w:link w:val="821"/>
    <w:uiPriority w:val="9"/>
    <w:rPr>
      <w:rFonts w:ascii="Arial" w:hAnsi="Arial" w:eastAsia="Arial" w:cs="Arial"/>
      <w:b/>
      <w:bCs/>
      <w:sz w:val="26"/>
      <w:szCs w:val="26"/>
    </w:rPr>
  </w:style>
  <w:style w:type="character" w:styleId="784">
    <w:name w:val="Heading 5 Char"/>
    <w:basedOn w:val="827"/>
    <w:link w:val="822"/>
    <w:uiPriority w:val="9"/>
    <w:rPr>
      <w:rFonts w:ascii="Arial" w:hAnsi="Arial" w:eastAsia="Arial" w:cs="Arial"/>
      <w:b/>
      <w:bCs/>
      <w:sz w:val="24"/>
      <w:szCs w:val="24"/>
    </w:rPr>
  </w:style>
  <w:style w:type="character" w:styleId="785">
    <w:name w:val="Heading 6 Char"/>
    <w:basedOn w:val="827"/>
    <w:link w:val="823"/>
    <w:uiPriority w:val="9"/>
    <w:rPr>
      <w:rFonts w:ascii="Arial" w:hAnsi="Arial" w:eastAsia="Arial" w:cs="Arial"/>
      <w:b/>
      <w:bCs/>
      <w:sz w:val="22"/>
      <w:szCs w:val="22"/>
    </w:rPr>
  </w:style>
  <w:style w:type="character" w:styleId="786">
    <w:name w:val="Heading 7 Char"/>
    <w:basedOn w:val="827"/>
    <w:link w:val="824"/>
    <w:uiPriority w:val="9"/>
    <w:rPr>
      <w:rFonts w:ascii="Arial" w:hAnsi="Arial" w:eastAsia="Arial" w:cs="Arial"/>
      <w:b/>
      <w:bCs/>
      <w:i/>
      <w:iCs/>
      <w:sz w:val="22"/>
      <w:szCs w:val="22"/>
    </w:rPr>
  </w:style>
  <w:style w:type="character" w:styleId="787">
    <w:name w:val="Heading 8 Char"/>
    <w:basedOn w:val="827"/>
    <w:link w:val="825"/>
    <w:uiPriority w:val="9"/>
    <w:rPr>
      <w:rFonts w:ascii="Arial" w:hAnsi="Arial" w:eastAsia="Arial" w:cs="Arial"/>
      <w:i/>
      <w:iCs/>
      <w:sz w:val="22"/>
      <w:szCs w:val="22"/>
    </w:rPr>
  </w:style>
  <w:style w:type="character" w:styleId="788">
    <w:name w:val="Heading 9 Char"/>
    <w:basedOn w:val="827"/>
    <w:link w:val="826"/>
    <w:uiPriority w:val="9"/>
    <w:rPr>
      <w:rFonts w:ascii="Arial" w:hAnsi="Arial" w:eastAsia="Arial" w:cs="Arial"/>
      <w:i/>
      <w:iCs/>
      <w:sz w:val="21"/>
      <w:szCs w:val="21"/>
    </w:rPr>
  </w:style>
  <w:style w:type="character" w:styleId="789">
    <w:name w:val="Title Char"/>
    <w:basedOn w:val="827"/>
    <w:link w:val="847"/>
    <w:uiPriority w:val="10"/>
    <w:rPr>
      <w:sz w:val="48"/>
      <w:szCs w:val="48"/>
    </w:rPr>
  </w:style>
  <w:style w:type="character" w:styleId="790">
    <w:name w:val="Subtitle Char"/>
    <w:basedOn w:val="827"/>
    <w:link w:val="841"/>
    <w:uiPriority w:val="11"/>
    <w:rPr>
      <w:sz w:val="24"/>
      <w:szCs w:val="24"/>
    </w:rPr>
  </w:style>
  <w:style w:type="character" w:styleId="791">
    <w:name w:val="Quote Char"/>
    <w:link w:val="866"/>
    <w:uiPriority w:val="29"/>
    <w:rPr>
      <w:i/>
    </w:rPr>
  </w:style>
  <w:style w:type="character" w:styleId="792">
    <w:name w:val="Intense Quote Char"/>
    <w:link w:val="868"/>
    <w:uiPriority w:val="30"/>
    <w:rPr>
      <w:i/>
    </w:rPr>
  </w:style>
  <w:style w:type="character" w:styleId="793">
    <w:name w:val="Header Char"/>
    <w:basedOn w:val="827"/>
    <w:link w:val="838"/>
    <w:uiPriority w:val="99"/>
  </w:style>
  <w:style w:type="character" w:styleId="794">
    <w:name w:val="Caption Char"/>
    <w:basedOn w:val="830"/>
    <w:link w:val="837"/>
    <w:uiPriority w:val="99"/>
  </w:style>
  <w:style w:type="table" w:styleId="79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42"/>
    <w:uiPriority w:val="99"/>
    <w:rPr>
      <w:sz w:val="18"/>
    </w:rPr>
  </w:style>
  <w:style w:type="character" w:styleId="815">
    <w:name w:val="Endnote Text Char"/>
    <w:link w:val="836"/>
    <w:uiPriority w:val="99"/>
    <w:rPr>
      <w:sz w:val="20"/>
    </w:rPr>
  </w:style>
  <w:style w:type="paragraph" w:styleId="816">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8">
    <w:name w:val="Heading 1"/>
    <w:basedOn w:val="817"/>
    <w:next w:val="817"/>
    <w:link w:val="853"/>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54"/>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55"/>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56"/>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5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58"/>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60"/>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1"/>
    <w:uiPriority w:val="9"/>
    <w:unhideWhenUsed/>
    <w:qFormat/>
    <w:pPr>
      <w:keepLines/>
      <w:keepNext/>
      <w:spacing w:before="320" w:after="200"/>
      <w:outlineLvl w:val="8"/>
    </w:pPr>
    <w:rPr>
      <w:rFonts w:ascii="Arial" w:hAnsi="Arial" w:eastAsia="Arial" w:cs="Arial"/>
      <w:i/>
      <w:iCs/>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7"/>
    <w:uiPriority w:val="99"/>
    <w:semiHidden/>
    <w:unhideWhenUsed/>
    <w:qFormat/>
    <w:pPr>
      <w:jc w:val="left"/>
    </w:pPr>
  </w:style>
  <w:style w:type="paragraph" w:styleId="832">
    <w:name w:val="Body Text"/>
    <w:basedOn w:val="817"/>
    <w:uiPriority w:val="0"/>
    <w:qFormat/>
    <w:rPr>
      <w:rFonts w:ascii="仿宋_GB2312" w:eastAsia="仿宋_GB2312"/>
      <w:sz w:val="24"/>
      <w:szCs w:val="20"/>
    </w:rPr>
  </w:style>
  <w:style w:type="paragraph" w:styleId="833">
    <w:name w:val="toc 5"/>
    <w:basedOn w:val="817"/>
    <w:next w:val="817"/>
    <w:uiPriority w:val="39"/>
    <w:unhideWhenUsed/>
    <w:qFormat/>
    <w:pPr>
      <w:ind w:left="1134"/>
      <w:spacing w:after="57"/>
    </w:pPr>
  </w:style>
  <w:style w:type="paragraph" w:styleId="834">
    <w:name w:val="toc 3"/>
    <w:basedOn w:val="817"/>
    <w:next w:val="817"/>
    <w:uiPriority w:val="39"/>
    <w:unhideWhenUsed/>
    <w:qFormat/>
    <w:pPr>
      <w:ind w:left="567"/>
      <w:spacing w:after="57"/>
    </w:pPr>
  </w:style>
  <w:style w:type="paragraph" w:styleId="835">
    <w:name w:val="toc 8"/>
    <w:basedOn w:val="817"/>
    <w:next w:val="817"/>
    <w:uiPriority w:val="39"/>
    <w:unhideWhenUsed/>
    <w:qFormat/>
    <w:pPr>
      <w:ind w:left="1984"/>
      <w:spacing w:after="57"/>
    </w:pPr>
  </w:style>
  <w:style w:type="paragraph" w:styleId="836">
    <w:name w:val="endnote text"/>
    <w:basedOn w:val="817"/>
    <w:link w:val="999"/>
    <w:uiPriority w:val="99"/>
    <w:semiHidden/>
    <w:unhideWhenUsed/>
    <w:qFormat/>
    <w:rPr>
      <w:sz w:val="20"/>
    </w:rPr>
  </w:style>
  <w:style w:type="paragraph" w:styleId="837">
    <w:name w:val="Footer"/>
    <w:basedOn w:val="817"/>
    <w:link w:val="872"/>
    <w:uiPriority w:val="99"/>
    <w:unhideWhenUsed/>
    <w:qFormat/>
    <w:pPr>
      <w:tabs>
        <w:tab w:val="center" w:pos="7143" w:leader="none"/>
        <w:tab w:val="right" w:pos="14287" w:leader="none"/>
      </w:tabs>
    </w:pPr>
  </w:style>
  <w:style w:type="paragraph" w:styleId="838">
    <w:name w:val="Header"/>
    <w:basedOn w:val="817"/>
    <w:link w:val="870"/>
    <w:uiPriority w:val="99"/>
    <w:unhideWhenUsed/>
    <w:qFormat/>
    <w:pPr>
      <w:tabs>
        <w:tab w:val="center" w:pos="7143" w:leader="none"/>
        <w:tab w:val="right" w:pos="14287" w:leader="none"/>
      </w:tabs>
    </w:pPr>
  </w:style>
  <w:style w:type="paragraph" w:styleId="839">
    <w:name w:val="toc 1"/>
    <w:basedOn w:val="817"/>
    <w:next w:val="817"/>
    <w:uiPriority w:val="39"/>
    <w:unhideWhenUsed/>
    <w:qFormat/>
    <w:pPr>
      <w:spacing w:after="57"/>
    </w:pPr>
  </w:style>
  <w:style w:type="paragraph" w:styleId="840">
    <w:name w:val="toc 4"/>
    <w:basedOn w:val="817"/>
    <w:next w:val="817"/>
    <w:uiPriority w:val="39"/>
    <w:unhideWhenUsed/>
    <w:qFormat/>
    <w:pPr>
      <w:ind w:left="850"/>
      <w:spacing w:after="57"/>
    </w:pPr>
  </w:style>
  <w:style w:type="paragraph" w:styleId="841">
    <w:name w:val="Subtitle"/>
    <w:basedOn w:val="817"/>
    <w:next w:val="817"/>
    <w:link w:val="865"/>
    <w:uiPriority w:val="11"/>
    <w:qFormat/>
    <w:pPr>
      <w:spacing w:before="200" w:after="200"/>
    </w:pPr>
    <w:rPr>
      <w:sz w:val="24"/>
      <w:szCs w:val="24"/>
    </w:rPr>
  </w:style>
  <w:style w:type="paragraph" w:styleId="842">
    <w:name w:val="footnote text"/>
    <w:basedOn w:val="817"/>
    <w:link w:val="998"/>
    <w:uiPriority w:val="99"/>
    <w:semiHidden/>
    <w:unhideWhenUsed/>
    <w:qFormat/>
    <w:pPr>
      <w:spacing w:after="40"/>
    </w:pPr>
    <w:rPr>
      <w:sz w:val="18"/>
    </w:rPr>
  </w:style>
  <w:style w:type="paragraph" w:styleId="843">
    <w:name w:val="toc 6"/>
    <w:basedOn w:val="817"/>
    <w:next w:val="817"/>
    <w:uiPriority w:val="39"/>
    <w:unhideWhenUsed/>
    <w:qFormat/>
    <w:pPr>
      <w:ind w:left="1417"/>
      <w:spacing w:after="57"/>
    </w:pPr>
  </w:style>
  <w:style w:type="paragraph" w:styleId="844">
    <w:name w:val="table of figures"/>
    <w:basedOn w:val="817"/>
    <w:next w:val="817"/>
    <w:uiPriority w:val="99"/>
    <w:unhideWhenUsed/>
    <w:qFormat/>
  </w:style>
  <w:style w:type="paragraph" w:styleId="845">
    <w:name w:val="toc 2"/>
    <w:basedOn w:val="817"/>
    <w:next w:val="817"/>
    <w:uiPriority w:val="39"/>
    <w:unhideWhenUsed/>
    <w:qFormat/>
    <w:pPr>
      <w:ind w:left="283"/>
      <w:spacing w:after="57"/>
    </w:pPr>
  </w:style>
  <w:style w:type="paragraph" w:styleId="846">
    <w:name w:val="toc 9"/>
    <w:basedOn w:val="817"/>
    <w:next w:val="817"/>
    <w:uiPriority w:val="39"/>
    <w:unhideWhenUsed/>
    <w:qFormat/>
    <w:pPr>
      <w:ind w:left="2268"/>
      <w:spacing w:after="57"/>
    </w:pPr>
  </w:style>
  <w:style w:type="paragraph" w:styleId="847">
    <w:name w:val="Title"/>
    <w:basedOn w:val="817"/>
    <w:next w:val="817"/>
    <w:link w:val="864"/>
    <w:uiPriority w:val="10"/>
    <w:qFormat/>
    <w:pPr>
      <w:contextualSpacing/>
      <w:spacing w:before="300" w:after="200"/>
    </w:pPr>
    <w:rPr>
      <w:sz w:val="48"/>
      <w:szCs w:val="48"/>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page number"/>
    <w:basedOn w:val="827"/>
    <w:uiPriority w:val="0"/>
    <w:qFormat/>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character" w:styleId="853" w:customStyle="1">
    <w:name w:val="标题 1 字符"/>
    <w:link w:val="818"/>
    <w:uiPriority w:val="9"/>
    <w:qFormat/>
    <w:rPr>
      <w:rFonts w:ascii="Arial" w:hAnsi="Arial" w:eastAsia="Arial" w:cs="Arial"/>
      <w:sz w:val="40"/>
      <w:szCs w:val="40"/>
    </w:rPr>
  </w:style>
  <w:style w:type="character" w:styleId="854" w:customStyle="1">
    <w:name w:val="标题 2 字符"/>
    <w:link w:val="819"/>
    <w:uiPriority w:val="9"/>
    <w:qFormat/>
    <w:rPr>
      <w:rFonts w:ascii="Arial" w:hAnsi="Arial" w:eastAsia="Arial" w:cs="Arial"/>
      <w:sz w:val="34"/>
    </w:rPr>
  </w:style>
  <w:style w:type="character" w:styleId="855" w:customStyle="1">
    <w:name w:val="标题 3 字符"/>
    <w:link w:val="820"/>
    <w:uiPriority w:val="9"/>
    <w:qFormat/>
    <w:rPr>
      <w:rFonts w:ascii="Arial" w:hAnsi="Arial" w:eastAsia="Arial" w:cs="Arial"/>
      <w:sz w:val="30"/>
      <w:szCs w:val="30"/>
    </w:rPr>
  </w:style>
  <w:style w:type="character" w:styleId="856" w:customStyle="1">
    <w:name w:val="标题 4 字符"/>
    <w:link w:val="821"/>
    <w:uiPriority w:val="9"/>
    <w:qFormat/>
    <w:rPr>
      <w:rFonts w:ascii="Arial" w:hAnsi="Arial" w:eastAsia="Arial" w:cs="Arial"/>
      <w:b/>
      <w:bCs/>
      <w:sz w:val="26"/>
      <w:szCs w:val="26"/>
    </w:rPr>
  </w:style>
  <w:style w:type="character" w:styleId="857" w:customStyle="1">
    <w:name w:val="标题 5 字符"/>
    <w:link w:val="822"/>
    <w:uiPriority w:val="9"/>
    <w:qFormat/>
    <w:rPr>
      <w:rFonts w:ascii="Arial" w:hAnsi="Arial" w:eastAsia="Arial" w:cs="Arial"/>
      <w:b/>
      <w:bCs/>
      <w:sz w:val="24"/>
      <w:szCs w:val="24"/>
    </w:rPr>
  </w:style>
  <w:style w:type="character" w:styleId="858" w:customStyle="1">
    <w:name w:val="标题 6 字符"/>
    <w:link w:val="823"/>
    <w:uiPriority w:val="9"/>
    <w:qFormat/>
    <w:rPr>
      <w:rFonts w:ascii="Arial" w:hAnsi="Arial" w:eastAsia="Arial" w:cs="Arial"/>
      <w:b/>
      <w:bCs/>
      <w:sz w:val="22"/>
      <w:szCs w:val="22"/>
    </w:rPr>
  </w:style>
  <w:style w:type="character" w:styleId="859" w:customStyle="1">
    <w:name w:val="标题 7 字符"/>
    <w:link w:val="824"/>
    <w:uiPriority w:val="9"/>
    <w:qFormat/>
    <w:rPr>
      <w:rFonts w:ascii="Arial" w:hAnsi="Arial" w:eastAsia="Arial" w:cs="Arial"/>
      <w:b/>
      <w:bCs/>
      <w:i/>
      <w:iCs/>
      <w:sz w:val="22"/>
      <w:szCs w:val="22"/>
    </w:rPr>
  </w:style>
  <w:style w:type="character" w:styleId="860" w:customStyle="1">
    <w:name w:val="标题 8 字符"/>
    <w:link w:val="825"/>
    <w:uiPriority w:val="9"/>
    <w:qFormat/>
    <w:rPr>
      <w:rFonts w:ascii="Arial" w:hAnsi="Arial" w:eastAsia="Arial" w:cs="Arial"/>
      <w:i/>
      <w:iCs/>
      <w:sz w:val="22"/>
      <w:szCs w:val="22"/>
    </w:rPr>
  </w:style>
  <w:style w:type="character" w:styleId="861" w:customStyle="1">
    <w:name w:val="标题 9 字符"/>
    <w:link w:val="826"/>
    <w:uiPriority w:val="9"/>
    <w:qFormat/>
    <w:rPr>
      <w:rFonts w:ascii="Arial" w:hAnsi="Arial" w:eastAsia="Arial" w:cs="Arial"/>
      <w:i/>
      <w:iCs/>
      <w:sz w:val="21"/>
      <w:szCs w:val="21"/>
    </w:rPr>
  </w:style>
  <w:style w:type="paragraph" w:styleId="862">
    <w:name w:val="List Paragraph"/>
    <w:basedOn w:val="817"/>
    <w:uiPriority w:val="34"/>
    <w:qFormat/>
    <w:pPr>
      <w:contextualSpacing/>
      <w:ind w:left="720"/>
    </w:pPr>
  </w:style>
  <w:style w:type="paragraph" w:styleId="863">
    <w:name w:val="No Spacing"/>
    <w:uiPriority w:val="1"/>
    <w:qFormat/>
    <w:rPr>
      <w:rFonts w:ascii="Times New Roman" w:hAnsi="Times New Roman" w:eastAsia="宋体" w:cs="Times New Roman"/>
      <w:lang w:val="en-US" w:eastAsia="zh-CN" w:bidi="ar-SA"/>
    </w:rPr>
  </w:style>
  <w:style w:type="character" w:styleId="864" w:customStyle="1">
    <w:name w:val="标题 字符"/>
    <w:link w:val="847"/>
    <w:uiPriority w:val="10"/>
    <w:qFormat/>
    <w:rPr>
      <w:sz w:val="48"/>
      <w:szCs w:val="48"/>
    </w:rPr>
  </w:style>
  <w:style w:type="character" w:styleId="865" w:customStyle="1">
    <w:name w:val="副标题 字符"/>
    <w:link w:val="841"/>
    <w:uiPriority w:val="11"/>
    <w:qFormat/>
    <w:rPr>
      <w:sz w:val="24"/>
      <w:szCs w:val="24"/>
    </w:rPr>
  </w:style>
  <w:style w:type="paragraph" w:styleId="866">
    <w:name w:val="Quote"/>
    <w:basedOn w:val="817"/>
    <w:next w:val="817"/>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17"/>
    <w:next w:val="817"/>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838"/>
    <w:uiPriority w:val="99"/>
    <w:qFormat/>
  </w:style>
  <w:style w:type="character" w:styleId="871" w:customStyle="1">
    <w:name w:val="Footer Char"/>
    <w:uiPriority w:val="99"/>
    <w:qFormat/>
  </w:style>
  <w:style w:type="character" w:styleId="872" w:customStyle="1">
    <w:name w:val="页脚 字符"/>
    <w:link w:val="837"/>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42"/>
    <w:uiPriority w:val="99"/>
    <w:qFormat/>
    <w:rPr>
      <w:sz w:val="18"/>
    </w:rPr>
  </w:style>
  <w:style w:type="character" w:styleId="999" w:customStyle="1">
    <w:name w:val="尾注文本 字符"/>
    <w:link w:val="836"/>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paragraph" w:styleId="1001" w:customStyle="1">
    <w:name w:val="标题 11"/>
    <w:basedOn w:val="817"/>
    <w:next w:val="817"/>
    <w:uiPriority w:val="99"/>
    <w:qFormat/>
    <w:pPr>
      <w:keepLines/>
      <w:keepNext/>
      <w:spacing w:before="340" w:after="330" w:line="578" w:lineRule="auto"/>
      <w:outlineLvl w:val="0"/>
    </w:pPr>
    <w:rPr>
      <w:rFonts w:eastAsia="楷体_GB2312"/>
      <w:b/>
      <w:bCs/>
      <w:sz w:val="44"/>
      <w:szCs w:val="44"/>
    </w:rPr>
  </w:style>
  <w:style w:type="paragraph" w:styleId="1002" w:customStyle="1">
    <w:name w:val="标题 21"/>
    <w:basedOn w:val="817"/>
    <w:next w:val="817"/>
    <w:uiPriority w:val="99"/>
    <w:qFormat/>
    <w:pPr>
      <w:jc w:val="left"/>
      <w:keepLines/>
      <w:keepNext/>
      <w:outlineLvl w:val="1"/>
    </w:pPr>
    <w:rPr>
      <w:rFonts w:ascii="宋体" w:hAnsi="宋体" w:eastAsia="楷体_GB2312" w:cs="宋体"/>
      <w:b/>
      <w:bCs/>
      <w:sz w:val="26"/>
      <w:szCs w:val="26"/>
    </w:rPr>
  </w:style>
  <w:style w:type="paragraph" w:styleId="1003" w:customStyle="1">
    <w:name w:val="标题 31"/>
    <w:basedOn w:val="817"/>
    <w:next w:val="817"/>
    <w:uiPriority w:val="99"/>
    <w:qFormat/>
    <w:pPr>
      <w:jc w:val="left"/>
      <w:keepLines/>
      <w:keepNext/>
      <w:outlineLvl w:val="2"/>
    </w:pPr>
    <w:rPr>
      <w:rFonts w:eastAsia="楷体_GB2312"/>
      <w:b/>
      <w:bCs/>
      <w:sz w:val="26"/>
      <w:szCs w:val="26"/>
    </w:rPr>
  </w:style>
  <w:style w:type="paragraph" w:styleId="1004" w:customStyle="1">
    <w:name w:val="标题 411"/>
    <w:basedOn w:val="817"/>
    <w:next w:val="817"/>
    <w:uiPriority w:val="99"/>
    <w:qFormat/>
    <w:pPr>
      <w:keepLines/>
      <w:keepNext/>
      <w:spacing w:before="280" w:after="290" w:line="376" w:lineRule="auto"/>
      <w:outlineLvl w:val="3"/>
    </w:pPr>
    <w:rPr>
      <w:rFonts w:ascii="Arial" w:hAnsi="Arial" w:eastAsia="黑体" w:cs="Arial"/>
      <w:b/>
      <w:bCs/>
      <w:sz w:val="28"/>
      <w:szCs w:val="28"/>
    </w:rPr>
  </w:style>
  <w:style w:type="character" w:styleId="1005" w:customStyle="1">
    <w:name w:val="默认段落字体1"/>
    <w:uiPriority w:val="0"/>
    <w:semiHidden/>
    <w:qFormat/>
  </w:style>
  <w:style w:type="table" w:styleId="1006" w:customStyle="1">
    <w:name w:val="普通表格1"/>
    <w:uiPriority w:val="99"/>
    <w:unhideWhenUsed/>
    <w:qFormat/>
    <w:tblPr>
      <w:tblCellMar>
        <w:left w:w="0" w:type="dxa"/>
        <w:top w:w="0" w:type="dxa"/>
        <w:right w:w="0" w:type="dxa"/>
        <w:bottom w:w="0" w:type="dxa"/>
      </w:tblCellMar>
    </w:tblPr>
  </w:style>
  <w:style w:type="paragraph" w:styleId="1007" w:customStyle="1">
    <w:name w:val="标题 41"/>
    <w:basedOn w:val="817"/>
    <w:next w:val="817"/>
    <w:uiPriority w:val="0"/>
    <w:qFormat/>
    <w:pPr>
      <w:keepLines/>
      <w:keepNext/>
      <w:spacing w:before="280" w:after="290" w:line="376" w:lineRule="auto"/>
      <w:outlineLvl w:val="3"/>
    </w:pPr>
    <w:rPr>
      <w:rFonts w:ascii="Arial" w:hAnsi="Arial" w:eastAsia="黑体"/>
      <w:b/>
      <w:bCs/>
      <w:sz w:val="28"/>
      <w:szCs w:val="28"/>
    </w:rPr>
  </w:style>
  <w:style w:type="paragraph" w:styleId="1008" w:customStyle="1">
    <w:name w:val="目录 71"/>
    <w:basedOn w:val="817"/>
    <w:next w:val="817"/>
    <w:uiPriority w:val="39"/>
    <w:unhideWhenUsed/>
    <w:qFormat/>
    <w:pPr>
      <w:ind w:left="1701"/>
      <w:spacing w:after="57"/>
    </w:pPr>
  </w:style>
  <w:style w:type="paragraph" w:styleId="1009" w:customStyle="1">
    <w:name w:val="正文缩进12"/>
    <w:basedOn w:val="817"/>
    <w:next w:val="1010"/>
    <w:uiPriority w:val="99"/>
    <w:qFormat/>
    <w:pPr>
      <w:ind w:firstLine="482"/>
      <w:spacing w:line="360" w:lineRule="atLeast"/>
    </w:pPr>
    <w:rPr>
      <w:sz w:val="24"/>
      <w:szCs w:val="24"/>
    </w:rPr>
  </w:style>
  <w:style w:type="paragraph" w:styleId="1010" w:customStyle="1">
    <w:name w:val="正文文本 21"/>
    <w:basedOn w:val="817"/>
    <w:uiPriority w:val="0"/>
    <w:qFormat/>
    <w:pPr>
      <w:jc w:val="center"/>
      <w:widowControl/>
    </w:pPr>
    <w:rPr>
      <w:rFonts w:ascii="楷体_GB2312" w:eastAsia="楷体_GB2312"/>
      <w:sz w:val="28"/>
      <w:szCs w:val="28"/>
    </w:rPr>
  </w:style>
  <w:style w:type="paragraph" w:styleId="1011" w:customStyle="1">
    <w:name w:val="批注文字1"/>
    <w:basedOn w:val="817"/>
    <w:uiPriority w:val="0"/>
    <w:qFormat/>
    <w:pPr>
      <w:jc w:val="left"/>
    </w:pPr>
  </w:style>
  <w:style w:type="paragraph" w:styleId="1012" w:customStyle="1">
    <w:name w:val="正文文本11"/>
    <w:basedOn w:val="817"/>
    <w:next w:val="817"/>
    <w:uiPriority w:val="0"/>
    <w:qFormat/>
    <w:rPr>
      <w:rFonts w:ascii="仿宋_GB2312" w:eastAsia="仿宋_GB2312"/>
      <w:sz w:val="24"/>
      <w:szCs w:val="20"/>
    </w:rPr>
  </w:style>
  <w:style w:type="paragraph" w:styleId="1013" w:customStyle="1">
    <w:name w:val="正文文本缩进11"/>
    <w:basedOn w:val="817"/>
    <w:next w:val="1014"/>
    <w:uiPriority w:val="99"/>
    <w:qFormat/>
    <w:pPr>
      <w:ind w:left="420"/>
      <w:spacing w:after="120"/>
    </w:pPr>
  </w:style>
  <w:style w:type="paragraph" w:styleId="1014" w:customStyle="1">
    <w:name w:val="寄信人地址11"/>
    <w:basedOn w:val="817"/>
    <w:uiPriority w:val="0"/>
    <w:qFormat/>
    <w:rPr>
      <w:rFonts w:ascii="Arial" w:hAnsi="Arial"/>
    </w:rPr>
  </w:style>
  <w:style w:type="paragraph" w:styleId="1015" w:customStyle="1">
    <w:name w:val="索引 41"/>
    <w:basedOn w:val="817"/>
    <w:next w:val="817"/>
    <w:uiPriority w:val="0"/>
    <w:qFormat/>
    <w:pPr>
      <w:ind w:left="600"/>
    </w:pPr>
  </w:style>
  <w:style w:type="paragraph" w:styleId="1016" w:customStyle="1">
    <w:name w:val="纯文本11"/>
    <w:basedOn w:val="817"/>
    <w:uiPriority w:val="0"/>
    <w:qFormat/>
    <w:rPr>
      <w:rFonts w:ascii="宋体" w:hAnsi="Courier New"/>
      <w:sz w:val="20"/>
    </w:rPr>
  </w:style>
  <w:style w:type="paragraph" w:styleId="1017" w:customStyle="1">
    <w:name w:val="页脚1"/>
    <w:basedOn w:val="817"/>
    <w:uiPriority w:val="99"/>
    <w:qFormat/>
    <w:pPr>
      <w:jc w:val="left"/>
      <w:tabs>
        <w:tab w:val="center" w:pos="4153" w:leader="none"/>
        <w:tab w:val="right" w:pos="8306" w:leader="none"/>
      </w:tabs>
    </w:pPr>
    <w:rPr>
      <w:sz w:val="18"/>
      <w:szCs w:val="18"/>
    </w:rPr>
  </w:style>
  <w:style w:type="paragraph" w:styleId="1018" w:customStyle="1">
    <w:name w:val="页眉1"/>
    <w:basedOn w:val="817"/>
    <w:uiPriority w:val="99"/>
    <w:qFormat/>
    <w:pPr>
      <w:jc w:val="center"/>
      <w:tabs>
        <w:tab w:val="center" w:pos="4153" w:leader="none"/>
        <w:tab w:val="right" w:pos="8306" w:leader="none"/>
      </w:tabs>
      <w:pBdr>
        <w:bottom w:val="single" w:color="000000" w:sz="6" w:space="1"/>
      </w:pBdr>
    </w:pPr>
    <w:rPr>
      <w:sz w:val="18"/>
      <w:szCs w:val="18"/>
    </w:rPr>
  </w:style>
  <w:style w:type="paragraph" w:styleId="1019" w:customStyle="1">
    <w:name w:val="信息标题1"/>
    <w:basedOn w:val="81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1020" w:customStyle="1">
    <w:name w:val="普通(网站)1"/>
    <w:basedOn w:val="817"/>
    <w:uiPriority w:val="99"/>
    <w:qFormat/>
    <w:pPr>
      <w:jc w:val="left"/>
      <w:spacing w:before="100" w:beforeAutospacing="1" w:after="100" w:afterAutospacing="1"/>
      <w:widowControl/>
    </w:pPr>
    <w:rPr>
      <w:rFonts w:ascii="宋体" w:hAnsi="宋体" w:cs="宋体"/>
      <w:sz w:val="24"/>
      <w:szCs w:val="24"/>
    </w:rPr>
  </w:style>
  <w:style w:type="paragraph" w:styleId="1021" w:customStyle="1">
    <w:name w:val="标题1"/>
    <w:basedOn w:val="817"/>
    <w:uiPriority w:val="0"/>
    <w:qFormat/>
    <w:pPr>
      <w:jc w:val="center"/>
      <w:widowControl/>
    </w:pPr>
    <w:rPr>
      <w:rFonts w:ascii="Tahoma" w:hAnsi="Tahoma"/>
      <w:b/>
      <w:sz w:val="24"/>
      <w:szCs w:val="20"/>
    </w:rPr>
  </w:style>
  <w:style w:type="paragraph" w:styleId="1022" w:customStyle="1">
    <w:name w:val="正文首行缩进1"/>
    <w:basedOn w:val="1012"/>
    <w:next w:val="817"/>
    <w:uiPriority w:val="0"/>
    <w:qFormat/>
    <w:pPr>
      <w:ind w:firstLine="200"/>
      <w:spacing w:line="360" w:lineRule="auto"/>
    </w:pPr>
    <w:rPr>
      <w:sz w:val="30"/>
      <w:szCs w:val="30"/>
    </w:rPr>
  </w:style>
  <w:style w:type="paragraph" w:styleId="1023" w:customStyle="1">
    <w:name w:val="正文首行缩进 211"/>
    <w:basedOn w:val="1013"/>
    <w:uiPriority w:val="0"/>
    <w:qFormat/>
    <w:pPr>
      <w:ind w:firstLine="420"/>
    </w:pPr>
  </w:style>
  <w:style w:type="table" w:styleId="1024" w:customStyle="1">
    <w:name w:val="网格型1"/>
    <w:basedOn w:val="1006"/>
    <w:uiPriority w:val="59"/>
    <w:unhideWhenUsed/>
    <w:qFormat/>
    <w:tblPr/>
  </w:style>
  <w:style w:type="character" w:styleId="1025" w:customStyle="1">
    <w:name w:val="页码1"/>
    <w:uiPriority w:val="0"/>
    <w:qFormat/>
    <w:rPr>
      <w:rFonts w:cs="Times New Roman"/>
    </w:rPr>
  </w:style>
  <w:style w:type="character" w:styleId="1026" w:customStyle="1">
    <w:name w:val="超链接1"/>
    <w:uiPriority w:val="99"/>
    <w:qFormat/>
    <w:rPr>
      <w:color w:val="0000ff"/>
      <w:u w:val="single"/>
    </w:rPr>
  </w:style>
  <w:style w:type="character" w:styleId="1027" w:customStyle="1">
    <w:name w:val="font11"/>
    <w:basedOn w:val="1005"/>
    <w:uiPriority w:val="0"/>
    <w:qFormat/>
    <w:rPr>
      <w:rFonts w:hint="eastAsia" w:ascii="仿宋" w:hAnsi="仿宋" w:eastAsia="仿宋" w:cs="仿宋"/>
      <w:color w:val="000000"/>
      <w:sz w:val="20"/>
      <w:szCs w:val="20"/>
      <w:u w:val="none"/>
    </w:rPr>
  </w:style>
  <w:style w:type="character" w:styleId="1028" w:customStyle="1">
    <w:name w:val="font21"/>
    <w:uiPriority w:val="0"/>
    <w:qFormat/>
    <w:rPr>
      <w:rFonts w:ascii="MingLiU" w:hAnsi="MingLiU" w:eastAsia="MingLiU" w:cs="MingLiU"/>
      <w:color w:val="000000"/>
      <w:sz w:val="20"/>
      <w:szCs w:val="20"/>
      <w:u w:val="none"/>
    </w:rPr>
  </w:style>
  <w:style w:type="character" w:styleId="1029" w:customStyle="1">
    <w:name w:val="font41"/>
    <w:uiPriority w:val="0"/>
    <w:qFormat/>
    <w:rPr>
      <w:rFonts w:ascii="Arial" w:hAnsi="Arial" w:cs="Arial"/>
      <w:color w:val="000000"/>
      <w:sz w:val="22"/>
      <w:szCs w:val="22"/>
      <w:u w:val="none"/>
    </w:rPr>
  </w:style>
  <w:style w:type="character" w:styleId="1030" w:customStyle="1">
    <w:name w:val="font51"/>
    <w:basedOn w:val="1005"/>
    <w:uiPriority w:val="0"/>
    <w:qFormat/>
    <w:rPr>
      <w:rFonts w:hint="eastAsia" w:ascii="微软雅黑" w:hAnsi="微软雅黑" w:eastAsia="微软雅黑" w:cs="微软雅黑"/>
      <w:color w:val="ff0000"/>
      <w:sz w:val="22"/>
      <w:szCs w:val="22"/>
      <w:u w:val="none"/>
    </w:rPr>
  </w:style>
  <w:style w:type="character" w:styleId="1031" w:customStyle="1">
    <w:name w:val="font31"/>
    <w:basedOn w:val="1005"/>
    <w:uiPriority w:val="0"/>
    <w:qFormat/>
    <w:rPr>
      <w:rFonts w:hint="eastAsia" w:ascii="仿宋" w:hAnsi="仿宋" w:eastAsia="仿宋" w:cs="仿宋"/>
      <w:b/>
      <w:bCs/>
      <w:color w:val="000000"/>
      <w:sz w:val="20"/>
      <w:szCs w:val="20"/>
      <w:u w:val="none"/>
    </w:rPr>
  </w:style>
  <w:style w:type="paragraph" w:styleId="1032" w:customStyle="1">
    <w:name w:val="寄信人地址1"/>
    <w:basedOn w:val="817"/>
    <w:uiPriority w:val="99"/>
    <w:unhideWhenUsed/>
    <w:qFormat/>
    <w:rPr>
      <w:rFonts w:ascii="Arial" w:hAnsi="Arial"/>
    </w:rPr>
  </w:style>
  <w:style w:type="paragraph" w:styleId="1033" w:customStyle="1">
    <w:name w:val="正文首行缩进 21"/>
    <w:basedOn w:val="1034"/>
    <w:next w:val="817"/>
    <w:uiPriority w:val="99"/>
    <w:qFormat/>
    <w:pPr>
      <w:ind w:firstLine="200"/>
    </w:pPr>
  </w:style>
  <w:style w:type="paragraph" w:styleId="1034" w:customStyle="1">
    <w:name w:val="正文文本缩进1"/>
    <w:basedOn w:val="817"/>
    <w:next w:val="1032"/>
    <w:uiPriority w:val="99"/>
    <w:qFormat/>
    <w:pPr>
      <w:ind w:left="200"/>
    </w:pPr>
  </w:style>
  <w:style w:type="paragraph" w:styleId="1035" w:customStyle="1">
    <w:name w:val="BodyText1"/>
    <w:basedOn w:val="817"/>
    <w:uiPriority w:val="0"/>
    <w:qFormat/>
    <w:pPr>
      <w:ind w:left="72" w:right="30"/>
      <w:jc w:val="center"/>
      <w:spacing w:after="60" w:line="360" w:lineRule="atLeast"/>
    </w:pPr>
    <w:rPr>
      <w:szCs w:val="22"/>
    </w:rPr>
  </w:style>
  <w:style w:type="paragraph" w:styleId="1036" w:customStyle="1">
    <w:name w:val="正文缩进11"/>
    <w:basedOn w:val="817"/>
    <w:uiPriority w:val="0"/>
    <w:qFormat/>
    <w:pPr>
      <w:ind w:firstLine="420"/>
    </w:pPr>
    <w:rPr>
      <w:sz w:val="20"/>
    </w:rPr>
  </w:style>
  <w:style w:type="paragraph" w:styleId="1037" w:customStyle="1">
    <w:name w:val="正文文本1"/>
    <w:basedOn w:val="817"/>
    <w:next w:val="817"/>
    <w:uiPriority w:val="0"/>
    <w:qFormat/>
    <w:rPr>
      <w:rFonts w:ascii="仿宋_GB2312" w:eastAsia="仿宋_GB2312"/>
      <w:sz w:val="24"/>
      <w:szCs w:val="20"/>
    </w:rPr>
  </w:style>
  <w:style w:type="paragraph" w:styleId="1038" w:customStyle="1">
    <w:name w:val="列出段落1"/>
    <w:basedOn w:val="817"/>
    <w:uiPriority w:val="0"/>
    <w:qFormat/>
    <w:pPr>
      <w:ind w:firstLine="420"/>
    </w:pPr>
  </w:style>
  <w:style w:type="paragraph" w:styleId="1039" w:customStyle="1">
    <w:name w:val="Default"/>
    <w:uiPriority w:val="99"/>
    <w:qFormat/>
    <w:pPr>
      <w:widowControl w:val="off"/>
    </w:pPr>
    <w:rPr>
      <w:rFonts w:ascii="宋体" w:hAnsi="Times New Roman" w:eastAsia="宋体" w:cs="Times New Roman"/>
      <w:color w:val="000000"/>
      <w:sz w:val="24"/>
      <w:szCs w:val="24"/>
      <w:lang w:val="en-US" w:eastAsia="zh-CN" w:bidi="ar-SA"/>
    </w:rPr>
  </w:style>
  <w:style w:type="paragraph" w:styleId="1040"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041" w:customStyle="1">
    <w:name w:val="无间隔1"/>
    <w:basedOn w:val="817"/>
    <w:uiPriority w:val="99"/>
    <w:qFormat/>
    <w:pPr>
      <w:jc w:val="center"/>
    </w:pPr>
    <w:rPr>
      <w:rFonts w:ascii="宋体" w:hAnsi="宋体" w:cs="宋体"/>
      <w:szCs w:val="24"/>
    </w:rPr>
  </w:style>
  <w:style w:type="paragraph" w:styleId="1042" w:customStyle="1">
    <w:name w:val="正文缩进1"/>
    <w:basedOn w:val="817"/>
    <w:uiPriority w:val="99"/>
    <w:qFormat/>
    <w:pPr>
      <w:ind w:firstLine="420"/>
      <w:jc w:val="left"/>
    </w:pPr>
    <w:rPr>
      <w:rFonts w:ascii="宋体" w:cs="宋体"/>
      <w:sz w:val="24"/>
      <w:szCs w:val="24"/>
    </w:rPr>
  </w:style>
  <w:style w:type="paragraph" w:styleId="1043" w:customStyle="1">
    <w:name w:val="纯文本1"/>
    <w:basedOn w:val="817"/>
    <w:uiPriority w:val="99"/>
    <w:qFormat/>
    <w:rPr>
      <w:rFonts w:ascii="宋体" w:hAnsi="Courier New" w:cs="宋体"/>
    </w:rPr>
  </w:style>
  <w:style w:type="paragraph" w:styleId="1044" w:customStyle="1">
    <w:name w:val="列表段落1"/>
    <w:basedOn w:val="817"/>
    <w:uiPriority w:val="0"/>
    <w:qFormat/>
    <w:pPr>
      <w:ind w:firstLine="420"/>
    </w:pPr>
    <w:rPr>
      <w:rFonts w:ascii="Calibri" w:hAnsi="Calibri"/>
      <w:szCs w:val="22"/>
    </w:rPr>
  </w:style>
  <w:style w:type="paragraph" w:styleId="1045" w:customStyle="1">
    <w:name w:val="Table Text"/>
    <w:basedOn w:val="817"/>
    <w:uiPriority w:val="0"/>
    <w:semiHidden/>
    <w:qFormat/>
    <w:rPr>
      <w:rFonts w:ascii="宋体" w:hAnsi="宋体" w:cs="宋体"/>
      <w:sz w:val="24"/>
      <w:szCs w:val="24"/>
      <w:lang w:eastAsia="en-US"/>
    </w:rPr>
  </w:style>
  <w:style w:type="paragraph" w:styleId="1046" w:customStyle="1">
    <w:name w:val="Char2"/>
    <w:basedOn w:val="817"/>
    <w:uiPriority w:val="99"/>
    <w:qFormat/>
    <w:pPr>
      <w:ind w:firstLine="200"/>
      <w:tabs>
        <w:tab w:val="left" w:pos="360" w:leader="none"/>
      </w:tabs>
    </w:pPr>
    <w:rPr>
      <w:sz w:val="28"/>
      <w:szCs w:val="28"/>
    </w:rPr>
  </w:style>
  <w:style w:type="paragraph" w:styleId="104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048" w:customStyle="1">
    <w:name w:val="Table Normal"/>
    <w:uiPriority w:val="0"/>
    <w:unhideWhenUsed/>
    <w:qFormat/>
    <w:tblPr>
      <w:tblCellMar>
        <w:left w:w="0" w:type="dxa"/>
        <w:top w:w="0" w:type="dxa"/>
        <w:right w:w="0" w:type="dxa"/>
        <w:bottom w:w="0" w:type="dxa"/>
      </w:tblCellMar>
    </w:tbl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mailto:hollyzbzy@artall.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dc:creator>
  <cp:lastModifiedBy>王苏琪</cp:lastModifiedBy>
  <cp:revision>10</cp:revision>
  <dcterms:created xsi:type="dcterms:W3CDTF">2023-02-06T08:02:00Z</dcterms:created>
  <dcterms:modified xsi:type="dcterms:W3CDTF">2025-11-27T03:04:03Z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eyJoZGlkIjoiOGFlYWZiZThlNmU4OTBhZGNhZGZjNDM3YzU3MmVjMjMifQ==</vt:lpwstr>
  </property>
  <property fmtid="{D5CDD505-2E9C-101B-9397-08002B2CF9AE}" pid="3" name="KSOProductBuildVer">
    <vt:lpwstr>2052-12.1.0.20305</vt:lpwstr>
  </property>
  <property fmtid="{D5CDD505-2E9C-101B-9397-08002B2CF9AE}" pid="4" name="ICV">
    <vt:lpwstr>03922D9A9C6F4D73AED2F05B22CA7C4F_13</vt:lpwstr>
  </property>
</Properties>
</file>